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B92" w:rsidRPr="009A39D6" w:rsidRDefault="001678B1" w:rsidP="009A39D6">
      <w:pPr>
        <w:spacing w:before="120" w:after="120" w:line="300" w:lineRule="atLeast"/>
        <w:ind w:left="1404" w:firstLine="0"/>
        <w:jc w:val="left"/>
        <w:rPr>
          <w:rFonts w:asciiTheme="minorHAnsi" w:hAnsiTheme="minorHAnsi" w:cstheme="minorHAnsi"/>
        </w:rPr>
      </w:pPr>
      <w:r w:rsidRPr="009A39D6">
        <w:rPr>
          <w:rFonts w:asciiTheme="minorHAnsi" w:hAnsiTheme="minorHAnsi" w:cstheme="minorHAnsi"/>
          <w:noProof/>
        </w:rPr>
        <w:drawing>
          <wp:inline distT="0" distB="0" distL="0" distR="0">
            <wp:extent cx="3610471" cy="699654"/>
            <wp:effectExtent l="0" t="0" r="0" b="5715"/>
            <wp:docPr id="2" name="Imagen 2" descr="F:\018 GESTIÓN SERVICIO\LOGOS\logo al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18 GESTIÓN SERVICIO\LOGOS\logo ala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43300" cy="706016"/>
                    </a:xfrm>
                    <a:prstGeom prst="rect">
                      <a:avLst/>
                    </a:prstGeom>
                    <a:noFill/>
                    <a:ln>
                      <a:noFill/>
                    </a:ln>
                  </pic:spPr>
                </pic:pic>
              </a:graphicData>
            </a:graphic>
          </wp:inline>
        </w:drawing>
      </w:r>
    </w:p>
    <w:p w:rsidR="00FB0B92" w:rsidRPr="009A39D6" w:rsidRDefault="0059073A" w:rsidP="009A39D6">
      <w:pPr>
        <w:spacing w:before="120" w:after="120" w:line="300" w:lineRule="atLeast"/>
        <w:ind w:left="540" w:firstLine="0"/>
        <w:jc w:val="left"/>
        <w:rPr>
          <w:rFonts w:asciiTheme="minorHAnsi" w:hAnsiTheme="minorHAnsi" w:cstheme="minorHAnsi"/>
        </w:rPr>
      </w:pPr>
      <w:r w:rsidRPr="009A39D6">
        <w:rPr>
          <w:rFonts w:asciiTheme="minorHAnsi" w:eastAsia="Trebuchet MS" w:hAnsiTheme="minorHAnsi" w:cstheme="minorHAnsi"/>
        </w:rPr>
        <w:t xml:space="preserve"> </w:t>
      </w:r>
    </w:p>
    <w:tbl>
      <w:tblPr>
        <w:tblStyle w:val="TableGrid"/>
        <w:tblW w:w="8644" w:type="dxa"/>
        <w:tblInd w:w="-108" w:type="dxa"/>
        <w:tblCellMar>
          <w:top w:w="13" w:type="dxa"/>
          <w:left w:w="106" w:type="dxa"/>
          <w:right w:w="115" w:type="dxa"/>
        </w:tblCellMar>
        <w:tblLook w:val="04A0" w:firstRow="1" w:lastRow="0" w:firstColumn="1" w:lastColumn="0" w:noHBand="0" w:noVBand="1"/>
      </w:tblPr>
      <w:tblGrid>
        <w:gridCol w:w="2882"/>
        <w:gridCol w:w="2881"/>
        <w:gridCol w:w="2881"/>
      </w:tblGrid>
      <w:tr w:rsidR="00FB0B92" w:rsidRPr="009A39D6" w:rsidTr="001678B1">
        <w:trPr>
          <w:trHeight w:val="332"/>
        </w:trPr>
        <w:tc>
          <w:tcPr>
            <w:tcW w:w="2882" w:type="dxa"/>
            <w:tcBorders>
              <w:top w:val="single" w:sz="4" w:space="0" w:color="000000"/>
              <w:left w:val="single" w:sz="4" w:space="0" w:color="000000"/>
              <w:bottom w:val="single" w:sz="4" w:space="0" w:color="000000"/>
              <w:right w:val="single" w:sz="4" w:space="0" w:color="000000"/>
            </w:tcBorders>
          </w:tcPr>
          <w:p w:rsidR="00FB0B92" w:rsidRPr="009A39D6" w:rsidRDefault="0059073A" w:rsidP="009A39D6">
            <w:pPr>
              <w:spacing w:before="120" w:after="120" w:line="300" w:lineRule="atLeast"/>
              <w:ind w:left="2" w:firstLine="0"/>
              <w:jc w:val="left"/>
              <w:rPr>
                <w:rFonts w:asciiTheme="minorHAnsi" w:hAnsiTheme="minorHAnsi" w:cstheme="minorHAnsi"/>
              </w:rPr>
            </w:pPr>
            <w:r w:rsidRPr="009A39D6">
              <w:rPr>
                <w:rFonts w:asciiTheme="minorHAnsi" w:eastAsia="Trebuchet MS"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i/>
              </w:rPr>
              <w:t xml:space="preserve"> </w:t>
            </w:r>
          </w:p>
        </w:tc>
        <w:tc>
          <w:tcPr>
            <w:tcW w:w="2881" w:type="dxa"/>
            <w:tcBorders>
              <w:top w:val="single" w:sz="4" w:space="0" w:color="000000"/>
              <w:left w:val="single" w:sz="4" w:space="0" w:color="000000"/>
              <w:bottom w:val="single" w:sz="4" w:space="0" w:color="000000"/>
              <w:right w:val="single" w:sz="4" w:space="0" w:color="000000"/>
            </w:tcBorders>
          </w:tcPr>
          <w:p w:rsidR="00FB0B92" w:rsidRPr="009A39D6" w:rsidRDefault="0059073A" w:rsidP="009A39D6">
            <w:pPr>
              <w:spacing w:before="120" w:after="120" w:line="300" w:lineRule="atLeast"/>
              <w:ind w:left="1" w:firstLine="0"/>
              <w:jc w:val="left"/>
              <w:rPr>
                <w:rFonts w:asciiTheme="minorHAnsi" w:hAnsiTheme="minorHAnsi" w:cstheme="minorHAnsi"/>
              </w:rPr>
            </w:pPr>
            <w:r w:rsidRPr="009A39D6">
              <w:rPr>
                <w:rFonts w:asciiTheme="minorHAnsi" w:hAnsiTheme="minorHAnsi" w:cstheme="minorHAnsi"/>
              </w:rPr>
              <w:t xml:space="preserve">Mochuelo europeo </w:t>
            </w:r>
          </w:p>
        </w:tc>
        <w:tc>
          <w:tcPr>
            <w:tcW w:w="2881" w:type="dxa"/>
            <w:tcBorders>
              <w:top w:val="single" w:sz="4" w:space="0" w:color="000000"/>
              <w:left w:val="single" w:sz="4" w:space="0" w:color="000000"/>
              <w:bottom w:val="single" w:sz="4" w:space="0" w:color="000000"/>
              <w:right w:val="single" w:sz="4" w:space="0" w:color="000000"/>
            </w:tcBorders>
          </w:tcPr>
          <w:p w:rsidR="00FB0B92" w:rsidRPr="009A39D6" w:rsidRDefault="0059073A" w:rsidP="009A39D6">
            <w:pPr>
              <w:spacing w:before="120" w:after="120" w:line="300" w:lineRule="atLeast"/>
              <w:ind w:left="0" w:firstLine="0"/>
              <w:jc w:val="left"/>
              <w:rPr>
                <w:rFonts w:asciiTheme="minorHAnsi" w:hAnsiTheme="minorHAnsi" w:cstheme="minorHAnsi"/>
              </w:rPr>
            </w:pPr>
            <w:proofErr w:type="spellStart"/>
            <w:r w:rsidRPr="009A39D6">
              <w:rPr>
                <w:rFonts w:asciiTheme="minorHAnsi" w:hAnsiTheme="minorHAnsi" w:cstheme="minorHAnsi"/>
              </w:rPr>
              <w:t>Moxolo</w:t>
            </w:r>
            <w:proofErr w:type="spellEnd"/>
            <w:r w:rsidRPr="009A39D6">
              <w:rPr>
                <w:rFonts w:asciiTheme="minorHAnsi" w:hAnsiTheme="minorHAnsi" w:cstheme="minorHAnsi"/>
              </w:rPr>
              <w:t xml:space="preserve"> </w:t>
            </w:r>
          </w:p>
        </w:tc>
      </w:tr>
    </w:tbl>
    <w:p w:rsidR="00FB0B92" w:rsidRPr="009A39D6" w:rsidRDefault="0059073A" w:rsidP="009A39D6">
      <w:pPr>
        <w:spacing w:before="120" w:after="120" w:line="300" w:lineRule="atLeast"/>
        <w:ind w:left="0" w:firstLine="0"/>
        <w:jc w:val="left"/>
        <w:rPr>
          <w:rFonts w:asciiTheme="minorHAnsi" w:hAnsiTheme="minorHAnsi" w:cstheme="minorHAnsi"/>
        </w:rPr>
      </w:pPr>
      <w:r w:rsidRPr="009A39D6">
        <w:rPr>
          <w:rFonts w:asciiTheme="minorHAnsi" w:eastAsia="Times New Roman" w:hAnsiTheme="minorHAnsi" w:cstheme="minorHAnsi"/>
        </w:rPr>
        <w:t xml:space="preserve">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Fecha edición: 10-02-2019 </w:t>
      </w:r>
    </w:p>
    <w:p w:rsidR="00FB0B92"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Autor: Iñigo Zuberogoitia / Estudios Medioambientales Icarus s.l. </w:t>
      </w:r>
    </w:p>
    <w:p w:rsidR="009A39D6" w:rsidRPr="009A39D6" w:rsidRDefault="009A39D6" w:rsidP="009A39D6">
      <w:pPr>
        <w:spacing w:before="120" w:after="120" w:line="300" w:lineRule="atLeast"/>
        <w:ind w:left="-15" w:right="865" w:firstLine="0"/>
        <w:rPr>
          <w:rFonts w:asciiTheme="minorHAnsi" w:hAnsiTheme="minorHAnsi" w:cstheme="minorHAnsi"/>
        </w:rPr>
      </w:pPr>
    </w:p>
    <w:p w:rsidR="00FB0B92" w:rsidRPr="009A39D6" w:rsidRDefault="0059073A" w:rsidP="009A39D6">
      <w:pPr>
        <w:spacing w:before="120" w:after="120" w:line="300" w:lineRule="atLeast"/>
        <w:ind w:left="355" w:hanging="10"/>
        <w:jc w:val="left"/>
        <w:rPr>
          <w:rFonts w:asciiTheme="minorHAnsi" w:hAnsiTheme="minorHAnsi" w:cstheme="minorHAnsi"/>
        </w:rPr>
      </w:pPr>
      <w:r w:rsidRPr="009A39D6">
        <w:rPr>
          <w:rFonts w:asciiTheme="minorHAnsi" w:hAnsiTheme="minorHAnsi" w:cstheme="minorHAnsi"/>
          <w:b/>
        </w:rPr>
        <w:t xml:space="preserve">1) Información taxonómica: </w:t>
      </w:r>
    </w:p>
    <w:p w:rsidR="00FB0B92" w:rsidRPr="009A39D6" w:rsidRDefault="0059073A" w:rsidP="009A39D6">
      <w:pPr>
        <w:spacing w:before="120" w:after="120" w:line="300" w:lineRule="atLeast"/>
        <w:ind w:left="360" w:right="865" w:firstLine="0"/>
        <w:rPr>
          <w:rFonts w:asciiTheme="minorHAnsi" w:hAnsiTheme="minorHAnsi" w:cstheme="minorHAnsi"/>
        </w:rPr>
      </w:pPr>
      <w:r w:rsidRPr="009A39D6">
        <w:rPr>
          <w:rFonts w:asciiTheme="minorHAnsi" w:hAnsiTheme="minorHAnsi" w:cstheme="minorHAnsi"/>
          <w:b/>
        </w:rPr>
        <w:t xml:space="preserve">Especie: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i/>
        </w:rPr>
        <w:t xml:space="preserve"> </w:t>
      </w:r>
      <w:r w:rsidRPr="009A39D6">
        <w:rPr>
          <w:rFonts w:asciiTheme="minorHAnsi" w:hAnsiTheme="minorHAnsi" w:cstheme="minorHAnsi"/>
        </w:rPr>
        <w:t>(</w:t>
      </w:r>
      <w:proofErr w:type="spellStart"/>
      <w:r w:rsidRPr="009A39D6">
        <w:rPr>
          <w:rFonts w:asciiTheme="minorHAnsi" w:hAnsiTheme="minorHAnsi" w:cstheme="minorHAnsi"/>
        </w:rPr>
        <w:t>Scopoli</w:t>
      </w:r>
      <w:proofErr w:type="spellEnd"/>
      <w:r w:rsidRPr="009A39D6">
        <w:rPr>
          <w:rFonts w:asciiTheme="minorHAnsi" w:hAnsiTheme="minorHAnsi" w:cstheme="minorHAnsi"/>
        </w:rPr>
        <w:t xml:space="preserve">, 1769). </w:t>
      </w:r>
    </w:p>
    <w:p w:rsidR="00FB0B92" w:rsidRPr="009A39D6" w:rsidRDefault="0059073A" w:rsidP="009A39D6">
      <w:pPr>
        <w:spacing w:before="120" w:after="120" w:line="300" w:lineRule="atLeast"/>
        <w:ind w:left="360" w:right="865" w:firstLine="0"/>
        <w:rPr>
          <w:rFonts w:asciiTheme="minorHAnsi" w:hAnsiTheme="minorHAnsi" w:cstheme="minorHAnsi"/>
        </w:rPr>
      </w:pPr>
      <w:r w:rsidRPr="009A39D6">
        <w:rPr>
          <w:rFonts w:asciiTheme="minorHAnsi" w:hAnsiTheme="minorHAnsi" w:cstheme="minorHAnsi"/>
          <w:b/>
        </w:rPr>
        <w:t xml:space="preserve">Familia:  </w:t>
      </w:r>
      <w:proofErr w:type="spellStart"/>
      <w:r w:rsidRPr="009A39D6">
        <w:rPr>
          <w:rFonts w:asciiTheme="minorHAnsi" w:hAnsiTheme="minorHAnsi" w:cstheme="minorHAnsi"/>
        </w:rPr>
        <w:t>Strigidae</w:t>
      </w:r>
      <w:proofErr w:type="spellEnd"/>
      <w:r w:rsidRPr="009A39D6">
        <w:rPr>
          <w:rFonts w:asciiTheme="minorHAnsi" w:hAnsiTheme="minorHAnsi" w:cstheme="minorHAnsi"/>
        </w:rPr>
        <w:t xml:space="preserve"> </w:t>
      </w:r>
    </w:p>
    <w:p w:rsidR="00FB0B92" w:rsidRPr="009A39D6" w:rsidRDefault="0059073A" w:rsidP="009A39D6">
      <w:pPr>
        <w:tabs>
          <w:tab w:val="center" w:pos="720"/>
          <w:tab w:val="center" w:pos="2005"/>
        </w:tabs>
        <w:spacing w:before="120" w:after="120" w:line="300" w:lineRule="atLeast"/>
        <w:ind w:left="360" w:firstLine="0"/>
        <w:jc w:val="left"/>
        <w:rPr>
          <w:rFonts w:asciiTheme="minorHAnsi" w:hAnsiTheme="minorHAnsi" w:cstheme="minorHAnsi"/>
        </w:rPr>
      </w:pPr>
      <w:r w:rsidRPr="009A39D6">
        <w:rPr>
          <w:rFonts w:asciiTheme="minorHAnsi" w:hAnsiTheme="minorHAnsi" w:cstheme="minorHAnsi"/>
          <w:b/>
        </w:rPr>
        <w:t xml:space="preserve">Orden:  </w:t>
      </w:r>
      <w:proofErr w:type="spellStart"/>
      <w:r w:rsidRPr="009A39D6">
        <w:rPr>
          <w:rFonts w:asciiTheme="minorHAnsi" w:hAnsiTheme="minorHAnsi" w:cstheme="minorHAnsi"/>
        </w:rPr>
        <w:t>Strigiformes</w:t>
      </w:r>
      <w:proofErr w:type="spellEnd"/>
      <w:r w:rsidRPr="009A39D6">
        <w:rPr>
          <w:rFonts w:asciiTheme="minorHAnsi" w:hAnsiTheme="minorHAnsi" w:cstheme="minorHAnsi"/>
        </w:rPr>
        <w:t xml:space="preserve"> </w:t>
      </w:r>
    </w:p>
    <w:p w:rsidR="00FB0B92"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En un principio se reconocían hasta 13 subespecies basándose en registros biométricos y el color del plumaje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aunque </w:t>
      </w:r>
      <w:proofErr w:type="spellStart"/>
      <w:r w:rsidRPr="009A39D6">
        <w:rPr>
          <w:rFonts w:asciiTheme="minorHAnsi" w:hAnsiTheme="minorHAnsi" w:cstheme="minorHAnsi"/>
        </w:rPr>
        <w:t>König</w:t>
      </w:r>
      <w:proofErr w:type="spellEnd"/>
      <w:r w:rsidRPr="009A39D6">
        <w:rPr>
          <w:rFonts w:asciiTheme="minorHAnsi" w:hAnsiTheme="minorHAnsi" w:cstheme="minorHAnsi"/>
        </w:rPr>
        <w:t xml:space="preserve"> y </w:t>
      </w:r>
      <w:proofErr w:type="spellStart"/>
      <w:r w:rsidRPr="009A39D6">
        <w:rPr>
          <w:rFonts w:asciiTheme="minorHAnsi" w:hAnsiTheme="minorHAnsi" w:cstheme="minorHAnsi"/>
        </w:rPr>
        <w:t>Weick</w:t>
      </w:r>
      <w:proofErr w:type="spellEnd"/>
      <w:r w:rsidRPr="009A39D6">
        <w:rPr>
          <w:rFonts w:asciiTheme="minorHAnsi" w:hAnsiTheme="minorHAnsi" w:cstheme="minorHAnsi"/>
        </w:rPr>
        <w:t xml:space="preserve"> (2008) reducen su número a ocho. En Europa se localizan fundamentalmente tres: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vidalii</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Brehm</w:t>
      </w:r>
      <w:proofErr w:type="spellEnd"/>
      <w:r w:rsidRPr="009A39D6">
        <w:rPr>
          <w:rFonts w:asciiTheme="minorHAnsi" w:hAnsiTheme="minorHAnsi" w:cstheme="minorHAnsi"/>
        </w:rPr>
        <w:t xml:space="preserve">, 1857) es la más oscura, encontrándose en la Europa occidental, incluida Gran Bretaña; </w:t>
      </w:r>
      <w:proofErr w:type="spellStart"/>
      <w:r w:rsidRPr="009A39D6">
        <w:rPr>
          <w:rFonts w:asciiTheme="minorHAnsi" w:hAnsiTheme="minorHAnsi" w:cstheme="minorHAnsi"/>
          <w:i/>
        </w:rPr>
        <w:t>A.n</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Scopoli</w:t>
      </w:r>
      <w:proofErr w:type="spellEnd"/>
      <w:r w:rsidRPr="009A39D6">
        <w:rPr>
          <w:rFonts w:asciiTheme="minorHAnsi" w:hAnsiTheme="minorHAnsi" w:cstheme="minorHAnsi"/>
        </w:rPr>
        <w:t xml:space="preserve">, 1769), es pardusca y más pálida que la anterior y se distribuye por Italia y el centro y este de Europa, solapándose con </w:t>
      </w:r>
      <w:proofErr w:type="spellStart"/>
      <w:r w:rsidRPr="009A39D6">
        <w:rPr>
          <w:rFonts w:asciiTheme="minorHAnsi" w:hAnsiTheme="minorHAnsi" w:cstheme="minorHAnsi"/>
          <w:i/>
        </w:rPr>
        <w:t>vidalli</w:t>
      </w:r>
      <w:proofErr w:type="spellEnd"/>
      <w:r w:rsidRPr="009A39D6">
        <w:rPr>
          <w:rFonts w:asciiTheme="minorHAnsi" w:hAnsiTheme="minorHAnsi" w:cstheme="minorHAnsi"/>
        </w:rPr>
        <w:t xml:space="preserve"> en el sur de Francia, Suiza, sur de Alemania, la República Checa y Eslovaquia. </w:t>
      </w:r>
      <w:proofErr w:type="spellStart"/>
      <w:r w:rsidRPr="009A39D6">
        <w:rPr>
          <w:rFonts w:asciiTheme="minorHAnsi" w:hAnsiTheme="minorHAnsi" w:cstheme="minorHAnsi"/>
          <w:i/>
        </w:rPr>
        <w:t>A.n</w:t>
      </w:r>
      <w:proofErr w:type="spellEnd"/>
      <w:r w:rsidRPr="009A39D6">
        <w:rPr>
          <w:rFonts w:asciiTheme="minorHAnsi" w:hAnsiTheme="minorHAnsi" w:cstheme="minorHAnsi"/>
          <w:i/>
        </w:rPr>
        <w:t>. indígena</w:t>
      </w:r>
      <w:r w:rsidRPr="009A39D6">
        <w:rPr>
          <w:rFonts w:asciiTheme="minorHAnsi" w:hAnsiTheme="minorHAnsi" w:cstheme="minorHAnsi"/>
        </w:rPr>
        <w:t xml:space="preserve"> (</w:t>
      </w:r>
      <w:proofErr w:type="spellStart"/>
      <w:r w:rsidRPr="009A39D6">
        <w:rPr>
          <w:rFonts w:asciiTheme="minorHAnsi" w:hAnsiTheme="minorHAnsi" w:cstheme="minorHAnsi"/>
        </w:rPr>
        <w:t>Brehm</w:t>
      </w:r>
      <w:proofErr w:type="spellEnd"/>
      <w:r w:rsidRPr="009A39D6">
        <w:rPr>
          <w:rFonts w:asciiTheme="minorHAnsi" w:hAnsiTheme="minorHAnsi" w:cstheme="minorHAnsi"/>
        </w:rPr>
        <w:t xml:space="preserve">, 1855), pardusca, mucho más pálida que las anteriores y con color pardo claro también en la cola, distribuida por el sudeste de Europa (Bosnia, Albania, Rumania, Moldavia, Creta y Turquía). El mochuelo europeo no presenta dimorfismo sexual cromático, aunque si un leve dimorfismo sexual inverso, de forma que las hembras son ligeramente más grandes y pesadas que los machos (Martínez </w:t>
      </w:r>
      <w:r w:rsidRPr="009A39D6">
        <w:rPr>
          <w:rFonts w:asciiTheme="minorHAnsi" w:hAnsiTheme="minorHAnsi" w:cstheme="minorHAnsi"/>
          <w:i/>
        </w:rPr>
        <w:t>et al</w:t>
      </w:r>
      <w:r w:rsidRPr="009A39D6">
        <w:rPr>
          <w:rFonts w:asciiTheme="minorHAnsi" w:hAnsiTheme="minorHAnsi" w:cstheme="minorHAnsi"/>
        </w:rPr>
        <w:t xml:space="preserve">., 2002). El ala de la subespecie </w:t>
      </w:r>
      <w:r w:rsidRPr="009A39D6">
        <w:rPr>
          <w:rFonts w:asciiTheme="minorHAnsi" w:hAnsiTheme="minorHAnsi" w:cstheme="minorHAnsi"/>
          <w:i/>
        </w:rPr>
        <w:t xml:space="preserve">A. n. </w:t>
      </w:r>
      <w:proofErr w:type="spellStart"/>
      <w:r w:rsidRPr="009A39D6">
        <w:rPr>
          <w:rFonts w:asciiTheme="minorHAnsi" w:hAnsiTheme="minorHAnsi" w:cstheme="minorHAnsi"/>
          <w:i/>
        </w:rPr>
        <w:t>vidalii</w:t>
      </w:r>
      <w:proofErr w:type="spellEnd"/>
      <w:r w:rsidRPr="009A39D6">
        <w:rPr>
          <w:rFonts w:asciiTheme="minorHAnsi" w:hAnsiTheme="minorHAnsi" w:cstheme="minorHAnsi"/>
          <w:i/>
        </w:rPr>
        <w:t>,</w:t>
      </w:r>
      <w:r w:rsidRPr="009A39D6">
        <w:rPr>
          <w:rFonts w:asciiTheme="minorHAnsi" w:hAnsiTheme="minorHAnsi" w:cstheme="minorHAnsi"/>
        </w:rPr>
        <w:t xml:space="preserve"> en la península Ibérica, va entre el rango de 145 mm y 170 mm para machos y 153-170 mm para hembras, estando el peso de los machos en el rango de138-180 gr y el de las hembras de 140 gr a 220 gr (Martínez </w:t>
      </w:r>
      <w:r w:rsidRPr="009A39D6">
        <w:rPr>
          <w:rFonts w:asciiTheme="minorHAnsi" w:hAnsiTheme="minorHAnsi" w:cstheme="minorHAnsi"/>
          <w:i/>
        </w:rPr>
        <w:t>et al</w:t>
      </w:r>
      <w:r w:rsidRPr="009A39D6">
        <w:rPr>
          <w:rFonts w:asciiTheme="minorHAnsi" w:hAnsiTheme="minorHAnsi" w:cstheme="minorHAnsi"/>
        </w:rPr>
        <w:t xml:space="preserve">., 2002). </w:t>
      </w:r>
    </w:p>
    <w:p w:rsidR="009A39D6" w:rsidRPr="009A39D6" w:rsidRDefault="009A39D6" w:rsidP="009A39D6">
      <w:pPr>
        <w:spacing w:before="120" w:after="120" w:line="300" w:lineRule="atLeast"/>
        <w:ind w:left="-15" w:right="865" w:firstLine="0"/>
        <w:rPr>
          <w:rFonts w:asciiTheme="minorHAnsi" w:hAnsiTheme="minorHAnsi" w:cstheme="minorHAnsi"/>
        </w:rPr>
      </w:pPr>
    </w:p>
    <w:p w:rsidR="00FB0B92" w:rsidRPr="009A39D6" w:rsidRDefault="0059073A" w:rsidP="009A39D6">
      <w:pPr>
        <w:spacing w:before="120" w:after="120" w:line="300" w:lineRule="atLeast"/>
        <w:ind w:left="355" w:hanging="10"/>
        <w:jc w:val="left"/>
        <w:rPr>
          <w:rFonts w:asciiTheme="minorHAnsi" w:hAnsiTheme="minorHAnsi" w:cstheme="minorHAnsi"/>
        </w:rPr>
      </w:pPr>
      <w:r w:rsidRPr="009A39D6">
        <w:rPr>
          <w:rFonts w:asciiTheme="minorHAnsi" w:hAnsiTheme="minorHAnsi" w:cstheme="minorHAnsi"/>
          <w:b/>
        </w:rPr>
        <w:t xml:space="preserve">2) Grado de amenaza de la especie: </w:t>
      </w:r>
    </w:p>
    <w:tbl>
      <w:tblPr>
        <w:tblStyle w:val="TableGrid"/>
        <w:tblW w:w="8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0" w:type="dxa"/>
          <w:left w:w="108" w:type="dxa"/>
          <w:right w:w="47" w:type="dxa"/>
        </w:tblCellMar>
        <w:tblLook w:val="04A0" w:firstRow="1" w:lastRow="0" w:firstColumn="1" w:lastColumn="0" w:noHBand="0" w:noVBand="1"/>
      </w:tblPr>
      <w:tblGrid>
        <w:gridCol w:w="1269"/>
        <w:gridCol w:w="1278"/>
        <w:gridCol w:w="1278"/>
        <w:gridCol w:w="1278"/>
        <w:gridCol w:w="1418"/>
        <w:gridCol w:w="773"/>
        <w:gridCol w:w="1428"/>
      </w:tblGrid>
      <w:tr w:rsidR="00FB0B92" w:rsidRPr="009A39D6" w:rsidTr="001678B1">
        <w:trPr>
          <w:trHeight w:val="1528"/>
        </w:trPr>
        <w:tc>
          <w:tcPr>
            <w:tcW w:w="1268" w:type="dxa"/>
          </w:tcPr>
          <w:p w:rsidR="00FB0B92" w:rsidRPr="009A39D6" w:rsidRDefault="0059073A" w:rsidP="009A39D6">
            <w:pPr>
              <w:spacing w:after="0" w:line="240" w:lineRule="atLeast"/>
              <w:ind w:left="24" w:firstLine="0"/>
              <w:jc w:val="left"/>
              <w:rPr>
                <w:rFonts w:asciiTheme="minorHAnsi" w:hAnsiTheme="minorHAnsi" w:cstheme="minorHAnsi"/>
              </w:rPr>
            </w:pPr>
            <w:r w:rsidRPr="009A39D6">
              <w:rPr>
                <w:rFonts w:asciiTheme="minorHAnsi" w:hAnsiTheme="minorHAnsi" w:cstheme="minorHAnsi"/>
              </w:rPr>
              <w:t xml:space="preserve">Propuesta </w:t>
            </w:r>
          </w:p>
          <w:p w:rsidR="00FB0B92" w:rsidRPr="009A39D6" w:rsidRDefault="0059073A" w:rsidP="009A39D6">
            <w:pPr>
              <w:spacing w:after="0" w:line="240" w:lineRule="atLeast"/>
              <w:ind w:left="0" w:right="62" w:firstLine="0"/>
              <w:jc w:val="center"/>
              <w:rPr>
                <w:rFonts w:asciiTheme="minorHAnsi" w:hAnsiTheme="minorHAnsi" w:cstheme="minorHAnsi"/>
              </w:rPr>
            </w:pPr>
            <w:r w:rsidRPr="009A39D6">
              <w:rPr>
                <w:rFonts w:asciiTheme="minorHAnsi" w:hAnsiTheme="minorHAnsi" w:cstheme="minorHAnsi"/>
              </w:rPr>
              <w:t xml:space="preserve">CVEA </w:t>
            </w:r>
          </w:p>
        </w:tc>
        <w:tc>
          <w:tcPr>
            <w:tcW w:w="1278" w:type="dxa"/>
          </w:tcPr>
          <w:p w:rsidR="00FB0B92" w:rsidRPr="009A39D6" w:rsidRDefault="0059073A" w:rsidP="009A39D6">
            <w:pPr>
              <w:spacing w:after="0" w:line="240" w:lineRule="atLeast"/>
              <w:ind w:left="47" w:firstLine="0"/>
              <w:jc w:val="left"/>
              <w:rPr>
                <w:rFonts w:asciiTheme="minorHAnsi" w:hAnsiTheme="minorHAnsi" w:cstheme="minorHAnsi"/>
              </w:rPr>
            </w:pPr>
            <w:r w:rsidRPr="009A39D6">
              <w:rPr>
                <w:rFonts w:asciiTheme="minorHAnsi" w:hAnsiTheme="minorHAnsi" w:cstheme="minorHAnsi"/>
              </w:rPr>
              <w:t xml:space="preserve">Categoría </w:t>
            </w:r>
          </w:p>
          <w:p w:rsidR="00FB0B92" w:rsidRPr="009A39D6" w:rsidRDefault="0059073A" w:rsidP="009A39D6">
            <w:pPr>
              <w:spacing w:after="0" w:line="240" w:lineRule="atLeast"/>
              <w:ind w:left="0" w:right="63" w:firstLine="0"/>
              <w:jc w:val="center"/>
              <w:rPr>
                <w:rFonts w:asciiTheme="minorHAnsi" w:hAnsiTheme="minorHAnsi" w:cstheme="minorHAnsi"/>
              </w:rPr>
            </w:pPr>
            <w:r w:rsidRPr="009A39D6">
              <w:rPr>
                <w:rFonts w:asciiTheme="minorHAnsi" w:hAnsiTheme="minorHAnsi" w:cstheme="minorHAnsi"/>
              </w:rPr>
              <w:t xml:space="preserve">UICN  </w:t>
            </w:r>
          </w:p>
          <w:p w:rsidR="00FB0B92" w:rsidRPr="009A39D6" w:rsidRDefault="0059073A" w:rsidP="009A39D6">
            <w:pPr>
              <w:spacing w:after="0" w:line="240" w:lineRule="atLeast"/>
              <w:ind w:left="0" w:right="65" w:firstLine="0"/>
              <w:jc w:val="center"/>
              <w:rPr>
                <w:rFonts w:asciiTheme="minorHAnsi" w:hAnsiTheme="minorHAnsi" w:cstheme="minorHAnsi"/>
              </w:rPr>
            </w:pPr>
            <w:r w:rsidRPr="009A39D6">
              <w:rPr>
                <w:rFonts w:asciiTheme="minorHAnsi" w:hAnsiTheme="minorHAnsi" w:cstheme="minorHAnsi"/>
              </w:rPr>
              <w:t xml:space="preserve">Mundial </w:t>
            </w:r>
          </w:p>
        </w:tc>
        <w:tc>
          <w:tcPr>
            <w:tcW w:w="1278" w:type="dxa"/>
          </w:tcPr>
          <w:p w:rsidR="00FB0B92" w:rsidRPr="009A39D6" w:rsidRDefault="0059073A" w:rsidP="009A39D6">
            <w:pPr>
              <w:spacing w:after="0" w:line="240" w:lineRule="atLeast"/>
              <w:ind w:left="47" w:firstLine="0"/>
              <w:jc w:val="left"/>
              <w:rPr>
                <w:rFonts w:asciiTheme="minorHAnsi" w:hAnsiTheme="minorHAnsi" w:cstheme="minorHAnsi"/>
              </w:rPr>
            </w:pPr>
            <w:r w:rsidRPr="009A39D6">
              <w:rPr>
                <w:rFonts w:asciiTheme="minorHAnsi" w:hAnsiTheme="minorHAnsi" w:cstheme="minorHAnsi"/>
              </w:rPr>
              <w:t xml:space="preserve">Categoría </w:t>
            </w:r>
          </w:p>
          <w:p w:rsidR="00FB0B92" w:rsidRPr="009A39D6" w:rsidRDefault="0059073A" w:rsidP="009A39D6">
            <w:pPr>
              <w:spacing w:after="0" w:line="240" w:lineRule="atLeast"/>
              <w:ind w:left="0" w:right="63" w:firstLine="0"/>
              <w:jc w:val="center"/>
              <w:rPr>
                <w:rFonts w:asciiTheme="minorHAnsi" w:hAnsiTheme="minorHAnsi" w:cstheme="minorHAnsi"/>
              </w:rPr>
            </w:pPr>
            <w:r w:rsidRPr="009A39D6">
              <w:rPr>
                <w:rFonts w:asciiTheme="minorHAnsi" w:hAnsiTheme="minorHAnsi" w:cstheme="minorHAnsi"/>
              </w:rPr>
              <w:t xml:space="preserve">UICN  </w:t>
            </w:r>
          </w:p>
          <w:p w:rsidR="00FB0B92" w:rsidRPr="009A39D6" w:rsidRDefault="0059073A" w:rsidP="009A39D6">
            <w:pPr>
              <w:spacing w:after="0" w:line="240" w:lineRule="atLeast"/>
              <w:ind w:left="0" w:right="65" w:firstLine="0"/>
              <w:jc w:val="center"/>
              <w:rPr>
                <w:rFonts w:asciiTheme="minorHAnsi" w:hAnsiTheme="minorHAnsi" w:cstheme="minorHAnsi"/>
              </w:rPr>
            </w:pPr>
            <w:r w:rsidRPr="009A39D6">
              <w:rPr>
                <w:rFonts w:asciiTheme="minorHAnsi" w:hAnsiTheme="minorHAnsi" w:cstheme="minorHAnsi"/>
              </w:rPr>
              <w:t xml:space="preserve">España </w:t>
            </w:r>
          </w:p>
        </w:tc>
        <w:tc>
          <w:tcPr>
            <w:tcW w:w="1278" w:type="dxa"/>
          </w:tcPr>
          <w:p w:rsidR="00FB0B92" w:rsidRPr="009A39D6" w:rsidRDefault="0059073A" w:rsidP="009A39D6">
            <w:pPr>
              <w:spacing w:after="0" w:line="240" w:lineRule="atLeast"/>
              <w:ind w:left="0" w:firstLine="0"/>
              <w:jc w:val="center"/>
              <w:rPr>
                <w:rFonts w:asciiTheme="minorHAnsi" w:hAnsiTheme="minorHAnsi" w:cstheme="minorHAnsi"/>
              </w:rPr>
            </w:pPr>
            <w:r w:rsidRPr="009A39D6">
              <w:rPr>
                <w:rFonts w:asciiTheme="minorHAnsi" w:hAnsiTheme="minorHAnsi" w:cstheme="minorHAnsi"/>
              </w:rPr>
              <w:t xml:space="preserve">Categoría UICN  </w:t>
            </w:r>
          </w:p>
          <w:p w:rsidR="00FB0B92" w:rsidRPr="009A39D6" w:rsidRDefault="0059073A" w:rsidP="009A39D6">
            <w:pPr>
              <w:spacing w:after="0" w:line="240" w:lineRule="atLeast"/>
              <w:ind w:left="40" w:firstLine="0"/>
              <w:jc w:val="left"/>
              <w:rPr>
                <w:rFonts w:asciiTheme="minorHAnsi" w:hAnsiTheme="minorHAnsi" w:cstheme="minorHAnsi"/>
              </w:rPr>
            </w:pPr>
            <w:r w:rsidRPr="009A39D6">
              <w:rPr>
                <w:rFonts w:asciiTheme="minorHAnsi" w:hAnsiTheme="minorHAnsi" w:cstheme="minorHAnsi"/>
              </w:rPr>
              <w:t xml:space="preserve">Lista Roja </w:t>
            </w:r>
          </w:p>
          <w:p w:rsidR="00FB0B92" w:rsidRPr="009A39D6" w:rsidRDefault="0059073A" w:rsidP="009A39D6">
            <w:pPr>
              <w:spacing w:after="0" w:line="240" w:lineRule="atLeast"/>
              <w:ind w:left="0" w:right="64" w:firstLine="0"/>
              <w:jc w:val="center"/>
              <w:rPr>
                <w:rFonts w:asciiTheme="minorHAnsi" w:hAnsiTheme="minorHAnsi" w:cstheme="minorHAnsi"/>
              </w:rPr>
            </w:pPr>
            <w:r w:rsidRPr="009A39D6">
              <w:rPr>
                <w:rFonts w:asciiTheme="minorHAnsi" w:hAnsiTheme="minorHAnsi" w:cstheme="minorHAnsi"/>
              </w:rPr>
              <w:t xml:space="preserve">CAPV </w:t>
            </w:r>
          </w:p>
        </w:tc>
        <w:tc>
          <w:tcPr>
            <w:tcW w:w="1418" w:type="dxa"/>
          </w:tcPr>
          <w:p w:rsidR="00FB0B92" w:rsidRPr="009A39D6" w:rsidRDefault="0059073A" w:rsidP="009A39D6">
            <w:pPr>
              <w:spacing w:after="0" w:line="240" w:lineRule="atLeast"/>
              <w:ind w:left="0" w:firstLine="0"/>
              <w:jc w:val="center"/>
              <w:rPr>
                <w:rFonts w:asciiTheme="minorHAnsi" w:hAnsiTheme="minorHAnsi" w:cstheme="minorHAnsi"/>
              </w:rPr>
            </w:pPr>
            <w:r w:rsidRPr="009A39D6">
              <w:rPr>
                <w:rFonts w:asciiTheme="minorHAnsi" w:hAnsiTheme="minorHAnsi" w:cstheme="minorHAnsi"/>
              </w:rPr>
              <w:t xml:space="preserve">Carácter especie </w:t>
            </w:r>
          </w:p>
          <w:p w:rsidR="00FB0B92" w:rsidRPr="009A39D6" w:rsidRDefault="0059073A" w:rsidP="009A39D6">
            <w:pPr>
              <w:spacing w:after="0" w:line="240" w:lineRule="atLeast"/>
              <w:ind w:left="0" w:right="66" w:firstLine="0"/>
              <w:jc w:val="center"/>
              <w:rPr>
                <w:rFonts w:asciiTheme="minorHAnsi" w:hAnsiTheme="minorHAnsi" w:cstheme="minorHAnsi"/>
              </w:rPr>
            </w:pPr>
            <w:r w:rsidRPr="009A39D6">
              <w:rPr>
                <w:rFonts w:asciiTheme="minorHAnsi" w:hAnsiTheme="minorHAnsi" w:cstheme="minorHAnsi"/>
              </w:rPr>
              <w:t xml:space="preserve">CAPV </w:t>
            </w:r>
          </w:p>
        </w:tc>
        <w:tc>
          <w:tcPr>
            <w:tcW w:w="2201" w:type="dxa"/>
            <w:gridSpan w:val="2"/>
          </w:tcPr>
          <w:p w:rsidR="00FB0B92" w:rsidRPr="009A39D6" w:rsidRDefault="0059073A" w:rsidP="009A39D6">
            <w:pPr>
              <w:spacing w:after="0" w:line="240" w:lineRule="atLeast"/>
              <w:ind w:left="0" w:firstLine="0"/>
              <w:jc w:val="center"/>
              <w:rPr>
                <w:rFonts w:asciiTheme="minorHAnsi" w:hAnsiTheme="minorHAnsi" w:cstheme="minorHAnsi"/>
              </w:rPr>
            </w:pPr>
            <w:r w:rsidRPr="009A39D6">
              <w:rPr>
                <w:rFonts w:asciiTheme="minorHAnsi" w:hAnsiTheme="minorHAnsi" w:cstheme="minorHAnsi"/>
              </w:rPr>
              <w:t xml:space="preserve">Porcentaje de la población global en </w:t>
            </w:r>
          </w:p>
          <w:p w:rsidR="00FB0B92" w:rsidRPr="009A39D6" w:rsidRDefault="0059073A" w:rsidP="009A39D6">
            <w:pPr>
              <w:spacing w:after="0" w:line="240" w:lineRule="atLeast"/>
              <w:ind w:left="0" w:right="63" w:firstLine="0"/>
              <w:jc w:val="center"/>
              <w:rPr>
                <w:rFonts w:asciiTheme="minorHAnsi" w:hAnsiTheme="minorHAnsi" w:cstheme="minorHAnsi"/>
              </w:rPr>
            </w:pPr>
            <w:r w:rsidRPr="009A39D6">
              <w:rPr>
                <w:rFonts w:asciiTheme="minorHAnsi" w:hAnsiTheme="minorHAnsi" w:cstheme="minorHAnsi"/>
              </w:rPr>
              <w:t xml:space="preserve">CAPV </w:t>
            </w:r>
          </w:p>
        </w:tc>
      </w:tr>
      <w:tr w:rsidR="00FB0B92" w:rsidRPr="009A39D6" w:rsidTr="001678B1">
        <w:trPr>
          <w:trHeight w:val="769"/>
        </w:trPr>
        <w:tc>
          <w:tcPr>
            <w:tcW w:w="1268" w:type="dxa"/>
          </w:tcPr>
          <w:p w:rsidR="00FB0B92" w:rsidRPr="009A39D6" w:rsidRDefault="0059073A" w:rsidP="009A39D6">
            <w:pPr>
              <w:spacing w:after="0" w:line="240" w:lineRule="atLeast"/>
              <w:ind w:left="0" w:firstLine="0"/>
              <w:jc w:val="left"/>
              <w:rPr>
                <w:rFonts w:asciiTheme="minorHAnsi" w:hAnsiTheme="minorHAnsi" w:cstheme="minorHAnsi"/>
              </w:rPr>
            </w:pPr>
            <w:r w:rsidRPr="009A39D6">
              <w:rPr>
                <w:rFonts w:asciiTheme="minorHAnsi" w:hAnsiTheme="minorHAnsi" w:cstheme="minorHAnsi"/>
              </w:rPr>
              <w:t xml:space="preserve">Vulnerable </w:t>
            </w:r>
          </w:p>
        </w:tc>
        <w:tc>
          <w:tcPr>
            <w:tcW w:w="1278" w:type="dxa"/>
          </w:tcPr>
          <w:p w:rsidR="00FB0B92" w:rsidRPr="009A39D6" w:rsidRDefault="0059073A" w:rsidP="009A39D6">
            <w:pPr>
              <w:spacing w:after="0" w:line="240" w:lineRule="atLeast"/>
              <w:ind w:left="0" w:right="65" w:firstLine="0"/>
              <w:jc w:val="center"/>
              <w:rPr>
                <w:rFonts w:asciiTheme="minorHAnsi" w:hAnsiTheme="minorHAnsi" w:cstheme="minorHAnsi"/>
              </w:rPr>
            </w:pPr>
            <w:r w:rsidRPr="009A39D6">
              <w:rPr>
                <w:rFonts w:asciiTheme="minorHAnsi" w:hAnsiTheme="minorHAnsi" w:cstheme="minorHAnsi"/>
              </w:rPr>
              <w:t xml:space="preserve">LC </w:t>
            </w:r>
          </w:p>
        </w:tc>
        <w:tc>
          <w:tcPr>
            <w:tcW w:w="1278" w:type="dxa"/>
          </w:tcPr>
          <w:p w:rsidR="00FB0B92" w:rsidRPr="009A39D6" w:rsidRDefault="0059073A" w:rsidP="009A39D6">
            <w:pPr>
              <w:spacing w:after="0" w:line="240" w:lineRule="atLeast"/>
              <w:ind w:left="0" w:right="64" w:firstLine="0"/>
              <w:jc w:val="center"/>
              <w:rPr>
                <w:rFonts w:asciiTheme="minorHAnsi" w:hAnsiTheme="minorHAnsi" w:cstheme="minorHAnsi"/>
              </w:rPr>
            </w:pPr>
            <w:r w:rsidRPr="009A39D6">
              <w:rPr>
                <w:rFonts w:asciiTheme="minorHAnsi" w:hAnsiTheme="minorHAnsi" w:cstheme="minorHAnsi"/>
              </w:rPr>
              <w:t xml:space="preserve">LC </w:t>
            </w:r>
          </w:p>
        </w:tc>
        <w:tc>
          <w:tcPr>
            <w:tcW w:w="1278" w:type="dxa"/>
          </w:tcPr>
          <w:p w:rsidR="00FB0B92" w:rsidRPr="009A39D6" w:rsidRDefault="0059073A" w:rsidP="009A39D6">
            <w:pPr>
              <w:spacing w:after="0" w:line="240" w:lineRule="atLeast"/>
              <w:ind w:left="0" w:right="63" w:firstLine="0"/>
              <w:jc w:val="center"/>
              <w:rPr>
                <w:rFonts w:asciiTheme="minorHAnsi" w:hAnsiTheme="minorHAnsi" w:cstheme="minorHAnsi"/>
              </w:rPr>
            </w:pPr>
            <w:r w:rsidRPr="009A39D6">
              <w:rPr>
                <w:rFonts w:asciiTheme="minorHAnsi" w:hAnsiTheme="minorHAnsi" w:cstheme="minorHAnsi"/>
              </w:rPr>
              <w:t xml:space="preserve">VU </w:t>
            </w:r>
          </w:p>
        </w:tc>
        <w:tc>
          <w:tcPr>
            <w:tcW w:w="1418" w:type="dxa"/>
          </w:tcPr>
          <w:p w:rsidR="00FB0B92" w:rsidRPr="009A39D6" w:rsidRDefault="0059073A" w:rsidP="009A39D6">
            <w:pPr>
              <w:spacing w:after="0" w:line="240" w:lineRule="atLeast"/>
              <w:ind w:left="0" w:firstLine="0"/>
              <w:jc w:val="center"/>
              <w:rPr>
                <w:rFonts w:asciiTheme="minorHAnsi" w:hAnsiTheme="minorHAnsi" w:cstheme="minorHAnsi"/>
              </w:rPr>
            </w:pPr>
            <w:r w:rsidRPr="009A39D6">
              <w:rPr>
                <w:rFonts w:asciiTheme="minorHAnsi" w:hAnsiTheme="minorHAnsi" w:cstheme="minorHAnsi"/>
              </w:rPr>
              <w:t>Residente, reproductor</w:t>
            </w:r>
            <w:r w:rsidRPr="009A39D6">
              <w:rPr>
                <w:rFonts w:asciiTheme="minorHAnsi" w:hAnsiTheme="minorHAnsi" w:cstheme="minorHAnsi"/>
                <w:b/>
              </w:rPr>
              <w:t xml:space="preserve"> </w:t>
            </w:r>
          </w:p>
        </w:tc>
        <w:tc>
          <w:tcPr>
            <w:tcW w:w="2201" w:type="dxa"/>
            <w:gridSpan w:val="2"/>
          </w:tcPr>
          <w:p w:rsidR="00FB0B92" w:rsidRPr="009A39D6" w:rsidRDefault="0059073A" w:rsidP="009A39D6">
            <w:pPr>
              <w:spacing w:after="0" w:line="240" w:lineRule="atLeast"/>
              <w:ind w:left="0" w:right="60" w:firstLine="0"/>
              <w:jc w:val="center"/>
              <w:rPr>
                <w:rFonts w:asciiTheme="minorHAnsi" w:hAnsiTheme="minorHAnsi" w:cstheme="minorHAnsi"/>
              </w:rPr>
            </w:pPr>
            <w:r w:rsidRPr="009A39D6">
              <w:rPr>
                <w:rFonts w:asciiTheme="minorHAnsi" w:hAnsiTheme="minorHAnsi" w:cstheme="minorHAnsi"/>
                <w:b/>
              </w:rPr>
              <w:t xml:space="preserve">&lt; 1% </w:t>
            </w:r>
          </w:p>
        </w:tc>
      </w:tr>
      <w:tr w:rsidR="00FB0B92" w:rsidRPr="009A39D6" w:rsidTr="001678B1">
        <w:trPr>
          <w:trHeight w:val="769"/>
        </w:trPr>
        <w:tc>
          <w:tcPr>
            <w:tcW w:w="2546" w:type="dxa"/>
            <w:gridSpan w:val="2"/>
          </w:tcPr>
          <w:p w:rsidR="00FB0B92" w:rsidRPr="009A39D6" w:rsidRDefault="0059073A" w:rsidP="009A39D6">
            <w:pPr>
              <w:spacing w:after="0" w:line="240" w:lineRule="atLeast"/>
              <w:ind w:left="0" w:right="62" w:firstLine="0"/>
              <w:jc w:val="center"/>
              <w:rPr>
                <w:rFonts w:asciiTheme="minorHAnsi" w:hAnsiTheme="minorHAnsi" w:cstheme="minorHAnsi"/>
              </w:rPr>
            </w:pPr>
            <w:r w:rsidRPr="009A39D6">
              <w:rPr>
                <w:rFonts w:asciiTheme="minorHAnsi" w:hAnsiTheme="minorHAnsi" w:cstheme="minorHAnsi"/>
              </w:rPr>
              <w:t xml:space="preserve">Directivas Aves </w:t>
            </w:r>
          </w:p>
          <w:p w:rsidR="00FB0B92" w:rsidRPr="009A39D6" w:rsidRDefault="0059073A" w:rsidP="009A39D6">
            <w:pPr>
              <w:spacing w:after="0" w:line="240" w:lineRule="atLeast"/>
              <w:ind w:left="0" w:right="61" w:firstLine="0"/>
              <w:jc w:val="center"/>
              <w:rPr>
                <w:rFonts w:asciiTheme="minorHAnsi" w:hAnsiTheme="minorHAnsi" w:cstheme="minorHAnsi"/>
              </w:rPr>
            </w:pPr>
            <w:r w:rsidRPr="009A39D6">
              <w:rPr>
                <w:rFonts w:asciiTheme="minorHAnsi" w:hAnsiTheme="minorHAnsi" w:cstheme="minorHAnsi"/>
              </w:rPr>
              <w:t xml:space="preserve">[2009/147/CE] </w:t>
            </w:r>
          </w:p>
        </w:tc>
        <w:tc>
          <w:tcPr>
            <w:tcW w:w="2556" w:type="dxa"/>
            <w:gridSpan w:val="2"/>
          </w:tcPr>
          <w:p w:rsidR="00FB0B92" w:rsidRPr="009A39D6" w:rsidRDefault="0059073A" w:rsidP="009A39D6">
            <w:pPr>
              <w:spacing w:after="0" w:line="240" w:lineRule="atLeast"/>
              <w:ind w:left="0" w:right="64" w:firstLine="0"/>
              <w:jc w:val="center"/>
              <w:rPr>
                <w:rFonts w:asciiTheme="minorHAnsi" w:hAnsiTheme="minorHAnsi" w:cstheme="minorHAnsi"/>
              </w:rPr>
            </w:pPr>
            <w:r w:rsidRPr="009A39D6">
              <w:rPr>
                <w:rFonts w:asciiTheme="minorHAnsi" w:hAnsiTheme="minorHAnsi" w:cstheme="minorHAnsi"/>
              </w:rPr>
              <w:t xml:space="preserve">Convenio de Berna </w:t>
            </w:r>
          </w:p>
        </w:tc>
        <w:tc>
          <w:tcPr>
            <w:tcW w:w="2191" w:type="dxa"/>
            <w:gridSpan w:val="2"/>
          </w:tcPr>
          <w:p w:rsidR="00FB0B92" w:rsidRPr="009A39D6" w:rsidRDefault="0059073A" w:rsidP="009A39D6">
            <w:pPr>
              <w:spacing w:after="0" w:line="240" w:lineRule="atLeast"/>
              <w:ind w:left="82" w:firstLine="0"/>
              <w:jc w:val="left"/>
              <w:rPr>
                <w:rFonts w:asciiTheme="minorHAnsi" w:hAnsiTheme="minorHAnsi" w:cstheme="minorHAnsi"/>
              </w:rPr>
            </w:pPr>
            <w:r w:rsidRPr="009A39D6">
              <w:rPr>
                <w:rFonts w:asciiTheme="minorHAnsi" w:hAnsiTheme="minorHAnsi" w:cstheme="minorHAnsi"/>
              </w:rPr>
              <w:t xml:space="preserve">Convenio de Bonn </w:t>
            </w:r>
          </w:p>
        </w:tc>
        <w:tc>
          <w:tcPr>
            <w:tcW w:w="1428" w:type="dxa"/>
          </w:tcPr>
          <w:p w:rsidR="00FB0B92" w:rsidRPr="009A39D6" w:rsidRDefault="0059073A" w:rsidP="009A39D6">
            <w:pPr>
              <w:spacing w:before="120" w:after="120" w:line="300" w:lineRule="atLeast"/>
              <w:ind w:left="0" w:right="62" w:firstLine="0"/>
              <w:jc w:val="center"/>
              <w:rPr>
                <w:rFonts w:asciiTheme="minorHAnsi" w:hAnsiTheme="minorHAnsi" w:cstheme="minorHAnsi"/>
              </w:rPr>
            </w:pPr>
            <w:r w:rsidRPr="009A39D6">
              <w:rPr>
                <w:rFonts w:asciiTheme="minorHAnsi" w:hAnsiTheme="minorHAnsi" w:cstheme="minorHAnsi"/>
              </w:rPr>
              <w:t xml:space="preserve">CITES </w:t>
            </w:r>
          </w:p>
        </w:tc>
      </w:tr>
      <w:tr w:rsidR="00FB0B92" w:rsidRPr="009A39D6" w:rsidTr="001678B1">
        <w:trPr>
          <w:trHeight w:val="390"/>
        </w:trPr>
        <w:tc>
          <w:tcPr>
            <w:tcW w:w="2546" w:type="dxa"/>
            <w:gridSpan w:val="2"/>
          </w:tcPr>
          <w:p w:rsidR="00FB0B92" w:rsidRPr="009A39D6" w:rsidRDefault="0059073A" w:rsidP="009A39D6">
            <w:pPr>
              <w:spacing w:after="0" w:line="240" w:lineRule="atLeast"/>
              <w:ind w:left="0" w:right="62" w:firstLine="0"/>
              <w:jc w:val="center"/>
              <w:rPr>
                <w:rFonts w:asciiTheme="minorHAnsi" w:hAnsiTheme="minorHAnsi" w:cstheme="minorHAnsi"/>
              </w:rPr>
            </w:pPr>
            <w:r w:rsidRPr="009A39D6">
              <w:rPr>
                <w:rFonts w:asciiTheme="minorHAnsi" w:hAnsiTheme="minorHAnsi" w:cstheme="minorHAnsi"/>
              </w:rPr>
              <w:t xml:space="preserve">No incluido </w:t>
            </w:r>
          </w:p>
        </w:tc>
        <w:tc>
          <w:tcPr>
            <w:tcW w:w="2556" w:type="dxa"/>
            <w:gridSpan w:val="2"/>
          </w:tcPr>
          <w:p w:rsidR="00FB0B92" w:rsidRPr="009A39D6" w:rsidRDefault="0059073A" w:rsidP="009A39D6">
            <w:pPr>
              <w:spacing w:after="0" w:line="240" w:lineRule="atLeast"/>
              <w:ind w:left="0" w:right="67" w:firstLine="0"/>
              <w:jc w:val="center"/>
              <w:rPr>
                <w:rFonts w:asciiTheme="minorHAnsi" w:hAnsiTheme="minorHAnsi" w:cstheme="minorHAnsi"/>
              </w:rPr>
            </w:pPr>
            <w:r w:rsidRPr="009A39D6">
              <w:rPr>
                <w:rFonts w:asciiTheme="minorHAnsi" w:hAnsiTheme="minorHAnsi" w:cstheme="minorHAnsi"/>
              </w:rPr>
              <w:t xml:space="preserve">Anexo II </w:t>
            </w:r>
          </w:p>
        </w:tc>
        <w:tc>
          <w:tcPr>
            <w:tcW w:w="2191" w:type="dxa"/>
            <w:gridSpan w:val="2"/>
          </w:tcPr>
          <w:p w:rsidR="00FB0B92" w:rsidRPr="009A39D6" w:rsidRDefault="0059073A" w:rsidP="009A39D6">
            <w:pPr>
              <w:spacing w:after="0" w:line="240" w:lineRule="atLeast"/>
              <w:ind w:left="0" w:right="65" w:firstLine="0"/>
              <w:jc w:val="center"/>
              <w:rPr>
                <w:rFonts w:asciiTheme="minorHAnsi" w:hAnsiTheme="minorHAnsi" w:cstheme="minorHAnsi"/>
              </w:rPr>
            </w:pPr>
            <w:r w:rsidRPr="009A39D6">
              <w:rPr>
                <w:rFonts w:asciiTheme="minorHAnsi" w:hAnsiTheme="minorHAnsi" w:cstheme="minorHAnsi"/>
              </w:rPr>
              <w:t xml:space="preserve">No incluido </w:t>
            </w:r>
          </w:p>
        </w:tc>
        <w:tc>
          <w:tcPr>
            <w:tcW w:w="1428" w:type="dxa"/>
          </w:tcPr>
          <w:p w:rsidR="00FB0B92" w:rsidRPr="009A39D6" w:rsidRDefault="0059073A" w:rsidP="009A39D6">
            <w:pPr>
              <w:spacing w:before="120" w:after="120" w:line="300" w:lineRule="atLeast"/>
              <w:ind w:left="0" w:right="67" w:firstLine="0"/>
              <w:jc w:val="center"/>
              <w:rPr>
                <w:rFonts w:asciiTheme="minorHAnsi" w:hAnsiTheme="minorHAnsi" w:cstheme="minorHAnsi"/>
              </w:rPr>
            </w:pPr>
            <w:r w:rsidRPr="009A39D6">
              <w:rPr>
                <w:rFonts w:asciiTheme="minorHAnsi" w:hAnsiTheme="minorHAnsi" w:cstheme="minorHAnsi"/>
              </w:rPr>
              <w:t xml:space="preserve">Anexo II </w:t>
            </w:r>
          </w:p>
        </w:tc>
      </w:tr>
    </w:tbl>
    <w:p w:rsidR="00FB0B92" w:rsidRPr="009A39D6" w:rsidRDefault="0059073A" w:rsidP="009A39D6">
      <w:pPr>
        <w:spacing w:before="120" w:after="120" w:line="300" w:lineRule="atLeast"/>
        <w:ind w:left="360" w:firstLine="0"/>
        <w:jc w:val="left"/>
        <w:rPr>
          <w:rFonts w:asciiTheme="minorHAnsi" w:hAnsiTheme="minorHAnsi" w:cstheme="minorHAnsi"/>
        </w:rPr>
      </w:pPr>
      <w:r w:rsidRPr="009A39D6">
        <w:rPr>
          <w:rFonts w:asciiTheme="minorHAnsi" w:hAnsiTheme="minorHAnsi" w:cstheme="minorHAnsi"/>
          <w:b/>
        </w:rPr>
        <w:lastRenderedPageBreak/>
        <w:t xml:space="preserve">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En la Lista Roja de Especies Amenazadas de la UICN el mochuelo europeo apareció en 2004 como “De preocupación menor” a nivel mundial (LC, </w:t>
      </w:r>
      <w:proofErr w:type="spellStart"/>
      <w:r w:rsidRPr="009A39D6">
        <w:rPr>
          <w:rFonts w:asciiTheme="minorHAnsi" w:hAnsiTheme="minorHAnsi" w:cstheme="minorHAnsi"/>
        </w:rPr>
        <w:t>Least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Concern</w:t>
      </w:r>
      <w:proofErr w:type="spellEnd"/>
      <w:r w:rsidRPr="009A39D6">
        <w:rPr>
          <w:rFonts w:asciiTheme="minorHAnsi" w:hAnsiTheme="minorHAnsi" w:cstheme="minorHAnsi"/>
        </w:rPr>
        <w:t xml:space="preserve">), y ha mantenido la misma catalogación en el resto de revisiones llevadas a cabo (LC: 20042008, 2009, 2012 y 2016 y previamente LR/LC, </w:t>
      </w:r>
      <w:proofErr w:type="spellStart"/>
      <w:r w:rsidRPr="009A39D6">
        <w:rPr>
          <w:rFonts w:asciiTheme="minorHAnsi" w:hAnsiTheme="minorHAnsi" w:cstheme="minorHAnsi"/>
        </w:rPr>
        <w:t>Lower</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Risk</w:t>
      </w:r>
      <w:proofErr w:type="spellEnd"/>
      <w:r w:rsidRPr="009A39D6">
        <w:rPr>
          <w:rFonts w:asciiTheme="minorHAnsi" w:hAnsiTheme="minorHAnsi" w:cstheme="minorHAnsi"/>
        </w:rPr>
        <w:t>/</w:t>
      </w:r>
      <w:proofErr w:type="spellStart"/>
      <w:r w:rsidRPr="009A39D6">
        <w:rPr>
          <w:rFonts w:asciiTheme="minorHAnsi" w:hAnsiTheme="minorHAnsi" w:cstheme="minorHAnsi"/>
        </w:rPr>
        <w:t>least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concern</w:t>
      </w:r>
      <w:proofErr w:type="spellEnd"/>
      <w:r w:rsidRPr="009A39D6">
        <w:rPr>
          <w:rFonts w:asciiTheme="minorHAnsi" w:hAnsiTheme="minorHAnsi" w:cstheme="minorHAnsi"/>
        </w:rPr>
        <w:t xml:space="preserve">: 1988, 1994 y 2000,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2018). La consideración más reciente se debe a que tiene una distribución global muy amplia, con un rango estimado de entre 5 y 10 millones de individuos maduros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2018). No obstante, el mochuelo europeo sufrió un fuerte declive en Europa entre 1970 y 1990, y un declive moderado entre 1990 y 2000, lo que determinó su inclusión en la categoría de En Declive SPEC 3 por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(Tucker &amp; </w:t>
      </w:r>
      <w:proofErr w:type="spellStart"/>
      <w:r w:rsidRPr="009A39D6">
        <w:rPr>
          <w:rFonts w:asciiTheme="minorHAnsi" w:hAnsiTheme="minorHAnsi" w:cstheme="minorHAnsi"/>
        </w:rPr>
        <w:t>Heath</w:t>
      </w:r>
      <w:proofErr w:type="spellEnd"/>
      <w:r w:rsidRPr="009A39D6">
        <w:rPr>
          <w:rFonts w:asciiTheme="minorHAnsi" w:hAnsiTheme="minorHAnsi" w:cstheme="minorHAnsi"/>
        </w:rPr>
        <w:t xml:space="preserve">, 1994; </w:t>
      </w:r>
      <w:proofErr w:type="spellStart"/>
      <w:r w:rsidRPr="009A39D6">
        <w:rPr>
          <w:rFonts w:asciiTheme="minorHAnsi" w:hAnsiTheme="minorHAnsi" w:cstheme="minorHAnsi"/>
        </w:rPr>
        <w:t>Burfield</w:t>
      </w:r>
      <w:proofErr w:type="spellEnd"/>
      <w:r w:rsidRPr="009A39D6">
        <w:rPr>
          <w:rFonts w:asciiTheme="minorHAnsi" w:hAnsiTheme="minorHAnsi" w:cstheme="minorHAnsi"/>
        </w:rPr>
        <w:t xml:space="preserve">, 2008; Johnson </w:t>
      </w:r>
      <w:r w:rsidRPr="009A39D6">
        <w:rPr>
          <w:rFonts w:asciiTheme="minorHAnsi" w:hAnsiTheme="minorHAnsi" w:cstheme="minorHAnsi"/>
          <w:i/>
        </w:rPr>
        <w:t>et al</w:t>
      </w:r>
      <w:r w:rsidRPr="009A39D6">
        <w:rPr>
          <w:rFonts w:asciiTheme="minorHAnsi" w:hAnsiTheme="minorHAnsi" w:cstheme="minorHAnsi"/>
        </w:rPr>
        <w:t xml:space="preserve">., 2011). Además, según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(2004), se encontraba en la clase de prioridad B dado su estatus de SPEC 3 y debido a que el 75% de la población europea se encuentra asociada a hábitats agrícolas y prados. La población europea ocupa aproximadamente el 25% de la distribución global y está estimada en 618.000 y 1.170.000 parejas reproductoras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2015). Según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(2005) la población europea no estaría en estos momentos experimentando un declive evidente, lo cual contrasta rotundamente con la información recogida por Andersen </w:t>
      </w:r>
      <w:r w:rsidRPr="009A39D6">
        <w:rPr>
          <w:rFonts w:asciiTheme="minorHAnsi" w:hAnsiTheme="minorHAnsi" w:cstheme="minorHAnsi"/>
          <w:i/>
        </w:rPr>
        <w:t>et al</w:t>
      </w:r>
      <w:r w:rsidRPr="009A39D6">
        <w:rPr>
          <w:rFonts w:asciiTheme="minorHAnsi" w:hAnsiTheme="minorHAnsi" w:cstheme="minorHAnsi"/>
        </w:rPr>
        <w:t xml:space="preserve">. (2017) o </w:t>
      </w:r>
      <w:proofErr w:type="spellStart"/>
      <w:r w:rsidRPr="009A39D6">
        <w:rPr>
          <w:rFonts w:asciiTheme="minorHAnsi" w:hAnsiTheme="minorHAnsi" w:cstheme="minorHAnsi"/>
        </w:rPr>
        <w:t>Chrenková</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(2017), entre otros, que marcan un acusado declive en las últimas décadas, siguiendo con la tendencia anteriormente descrita.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En los años noventa se hablaba de un acentuado declive de la población en España, con una estima poblacional de aproximadamente 50.000-60.000 parejas (Pérez-Olea, 1997). Blas &amp; Muñoz (2003) confirmaban la constatación de dicho declive, que debía de ser superior al 20% en las últimas tres décadas. Las estima</w:t>
      </w:r>
      <w:r w:rsidR="001678B1" w:rsidRPr="009A39D6">
        <w:rPr>
          <w:rFonts w:asciiTheme="minorHAnsi" w:hAnsiTheme="minorHAnsi" w:cstheme="minorHAnsi"/>
        </w:rPr>
        <w:t>s</w:t>
      </w:r>
      <w:r w:rsidRPr="009A39D6">
        <w:rPr>
          <w:rFonts w:asciiTheme="minorHAnsi" w:hAnsiTheme="minorHAnsi" w:cstheme="minorHAnsi"/>
        </w:rPr>
        <w:t xml:space="preserve"> mínimas situaban a la población en 39.455 parejas. Según </w:t>
      </w:r>
      <w:proofErr w:type="spellStart"/>
      <w:r w:rsidRPr="009A39D6">
        <w:rPr>
          <w:rFonts w:asciiTheme="minorHAnsi" w:hAnsiTheme="minorHAnsi" w:cstheme="minorHAnsi"/>
        </w:rPr>
        <w:t>Escandell</w:t>
      </w:r>
      <w:proofErr w:type="spellEnd"/>
      <w:r w:rsidRPr="009A39D6">
        <w:rPr>
          <w:rFonts w:asciiTheme="minorHAnsi" w:hAnsiTheme="minorHAnsi" w:cstheme="minorHAnsi"/>
        </w:rPr>
        <w:t xml:space="preserve"> (2012), el declive poblacional de la especie estaría en un 40% desde mediados de la década de los noventa hasta comienzos de la segunda década del siglo XXI, aunque posteriormente, entre 2005 y 2017, parece darse una cierta estabilización de las poblaciones (Berrio &amp; </w:t>
      </w:r>
      <w:proofErr w:type="spellStart"/>
      <w:r w:rsidRPr="009A39D6">
        <w:rPr>
          <w:rFonts w:asciiTheme="minorHAnsi" w:hAnsiTheme="minorHAnsi" w:cstheme="minorHAnsi"/>
        </w:rPr>
        <w:t>Escandell</w:t>
      </w:r>
      <w:proofErr w:type="spellEnd"/>
      <w:r w:rsidRPr="009A39D6">
        <w:rPr>
          <w:rFonts w:asciiTheme="minorHAnsi" w:hAnsiTheme="minorHAnsi" w:cstheme="minorHAnsi"/>
        </w:rPr>
        <w:t xml:space="preserve">, 2017).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Los primeros datos de la CAPV, en los años ochenta, eran cualitativos y claramente subestimas, con la detección de la especie en 20 cuadrículas UTM 10 x10 km (Álvarez </w:t>
      </w:r>
      <w:r w:rsidRPr="009A39D6">
        <w:rPr>
          <w:rFonts w:asciiTheme="minorHAnsi" w:hAnsiTheme="minorHAnsi" w:cstheme="minorHAnsi"/>
          <w:i/>
        </w:rPr>
        <w:t>et al</w:t>
      </w:r>
      <w:r w:rsidRPr="009A39D6">
        <w:rPr>
          <w:rFonts w:asciiTheme="minorHAnsi" w:hAnsiTheme="minorHAnsi" w:cstheme="minorHAnsi"/>
        </w:rPr>
        <w:t xml:space="preserve">., 1985). A finales de los noventa seguía sin existir estimas del tamaño de la población, aunque ya se hablaba de la percepción de un declive poblacional (Zuberogoitia </w:t>
      </w:r>
      <w:r w:rsidRPr="009A39D6">
        <w:rPr>
          <w:rFonts w:asciiTheme="minorHAnsi" w:hAnsiTheme="minorHAnsi" w:cstheme="minorHAnsi"/>
          <w:i/>
        </w:rPr>
        <w:t>et al</w:t>
      </w:r>
      <w:r w:rsidRPr="009A39D6">
        <w:rPr>
          <w:rFonts w:asciiTheme="minorHAnsi" w:hAnsiTheme="minorHAnsi" w:cstheme="minorHAnsi"/>
        </w:rPr>
        <w:t xml:space="preserve">., 1998). En un censo intensivo (Zuberogoitia &amp; Campos, 1998), Zuberogoitia (2002) localizó 272 territorios de mochuelos en Bizkaia, estableciendo la base numérica de la población. Por su parte, en el censo de aves de Gipuzkoa, </w:t>
      </w:r>
      <w:proofErr w:type="spellStart"/>
      <w:r w:rsidRPr="009A39D6">
        <w:rPr>
          <w:rFonts w:asciiTheme="minorHAnsi" w:hAnsiTheme="minorHAnsi" w:cstheme="minorHAnsi"/>
        </w:rPr>
        <w:t>Aierbe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(2001) lo detectaron en 11 cuadrículas, y en un censo de rapaces nocturnas de Araba, Aguilar </w:t>
      </w:r>
      <w:r w:rsidRPr="009A39D6">
        <w:rPr>
          <w:rFonts w:asciiTheme="minorHAnsi" w:hAnsiTheme="minorHAnsi" w:cstheme="minorHAnsi"/>
          <w:i/>
        </w:rPr>
        <w:t>et al</w:t>
      </w:r>
      <w:r w:rsidRPr="009A39D6">
        <w:rPr>
          <w:rFonts w:asciiTheme="minorHAnsi" w:hAnsiTheme="minorHAnsi" w:cstheme="minorHAnsi"/>
        </w:rPr>
        <w:t xml:space="preserve">. (2001) lo detectaron en el 26,7% de 45 estaciones de escucha, y completaron su distribución usando citas sueltas, hasta las 22 cuadrículas UTM 10 x 10 km.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En 2009 se llevó a cabo un censo específico en la CAPV, en donde se censaron 300 puntos repartidos en hábitats adecuados para la especie (Zuberogoitia, 2009). En este trabajo se detectaron 34 territorios en Bizkaia, 26 en Gipuzkoa y 77 en Araba. La ocupación fue del 39,3% y la probabilidad de detección del 0.439 ± 0.228 para toda la CAPV, pero desigualmente repartida. Así, en las campiñas litorales la ocupación fue del 32,6% y la probabilidad de detección del 0,371, en las campiñas atlánticas se detectó un 22,6% de ocupación y 0,325 de </w:t>
      </w:r>
      <w:proofErr w:type="spellStart"/>
      <w:r w:rsidRPr="009A39D6">
        <w:rPr>
          <w:rFonts w:asciiTheme="minorHAnsi" w:hAnsiTheme="minorHAnsi" w:cstheme="minorHAnsi"/>
        </w:rPr>
        <w:t>detectabilidad</w:t>
      </w:r>
      <w:proofErr w:type="spellEnd"/>
      <w:r w:rsidRPr="009A39D6">
        <w:rPr>
          <w:rFonts w:asciiTheme="minorHAnsi" w:hAnsiTheme="minorHAnsi" w:cstheme="minorHAnsi"/>
        </w:rPr>
        <w:t xml:space="preserve"> y en las zonas agrícolas mediterráneas un 67,5% de ocupación y 0,516 de </w:t>
      </w:r>
      <w:proofErr w:type="spellStart"/>
      <w:r w:rsidRPr="009A39D6">
        <w:rPr>
          <w:rFonts w:asciiTheme="minorHAnsi" w:hAnsiTheme="minorHAnsi" w:cstheme="minorHAnsi"/>
        </w:rPr>
        <w:t>detectabilidad</w:t>
      </w:r>
      <w:proofErr w:type="spellEnd"/>
      <w:r w:rsidRPr="009A39D6">
        <w:rPr>
          <w:rFonts w:asciiTheme="minorHAnsi" w:hAnsiTheme="minorHAnsi" w:cstheme="minorHAnsi"/>
        </w:rPr>
        <w:t xml:space="preserve">. En este trabajo, comparando con los datos de Zuberogoitia (2002), se demostró una reducción poblacional del 10,5% en una década en Bizkaia.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Los resultados del censo de aves nocturnas de Euskadi de 2018 arrojaron una estima de ocupación del 38% y una probabilidad de detección del 0,09 para el mochuelo (Zuberogoitia, 2018). Los </w:t>
      </w:r>
      <w:proofErr w:type="gramStart"/>
      <w:r w:rsidRPr="009A39D6">
        <w:rPr>
          <w:rFonts w:asciiTheme="minorHAnsi" w:hAnsiTheme="minorHAnsi" w:cstheme="minorHAnsi"/>
        </w:rPr>
        <w:t>modelos</w:t>
      </w:r>
      <w:proofErr w:type="gramEnd"/>
      <w:r w:rsidRPr="009A39D6">
        <w:rPr>
          <w:rFonts w:asciiTheme="minorHAnsi" w:hAnsiTheme="minorHAnsi" w:cstheme="minorHAnsi"/>
        </w:rPr>
        <w:t xml:space="preserve"> además, mostraron una ocupación del 14% de las unidades de censo. Los datos combinados del censo y las citas acumuladas de los últimos años (2015-2018) mostraron una distribución de las cuadrículas ocupadas similar a la vista hasta ahora (Zuberogoitia, 2018; Fig. 1). Sin embargo, los datos numéricos aportaron otra imagen. Así, en Bizkaia, teniendo en cuenta los puntos coincidentes entre el censo de 2002, el del 2009 y el de 2018 se detectó un descenso bruto del 23,6% en los territorios conocidos en dos décadas. En Gipuzkoa, considerando los puntos coincidentes entre el censo de 2009 y el del 2018, se observó un descenso de los resultados positivos de un 17,1% a un 14,3% respectivamente. Finalmente, en Araba, entre el censo de 2009 y el del 2018 se confirmó un declive bruto de un 30% en los territorios conocidos. </w:t>
      </w:r>
    </w:p>
    <w:p w:rsidR="00FB0B92"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Por lo tanto, se confirma que la especie continua en declive en Euskadi. En 2009 se estimó un declive del 10% con los datos de Bizkaia (Zuberogoitia, 2009), y de aquel censo al del 2018 se ha visto una reducción del 25,6% de los territorios conocidos. Esta situación implicaría, siguiendo los criterios de la UICN y según los criterios de las listas rojas, catalogar a la especie al nivel VU (Vulnerable A2), dado que se trata de una población con un declive cercano al 30% en 10 años, no siendo reversible de mantenerse la situación actual y con causas de declive que no han cesado y que definen una tendencia continua clara. Por otra parte, la situación de la especie en regiones próximas no parece ser más favorable, por lo que se compromete un posible efecto rescate desde zonas de Cantabria, Burgos, La Rioja o Navarra. En cuanto a las categorías recogidas en el catálogo vasco de especies amenazadas (ver Fernández de Mendiola &amp; Bea, 1998), el mochuelo europeo entraría a formar parte de la categoría “Vulnerable” (especies que corren el riesgo de pasar a la categoría “En peligro de extinción” en un futuro inmediato si los factores adversos que actúan sobre ellas o sus hábitats no son corregidos). </w:t>
      </w:r>
    </w:p>
    <w:p w:rsidR="009A39D6" w:rsidRPr="009A39D6" w:rsidRDefault="009A39D6" w:rsidP="009A39D6">
      <w:pPr>
        <w:spacing w:before="120" w:after="120" w:line="300" w:lineRule="atLeast"/>
        <w:ind w:left="-15" w:right="865" w:firstLine="0"/>
        <w:rPr>
          <w:rFonts w:asciiTheme="minorHAnsi" w:hAnsiTheme="minorHAnsi" w:cstheme="minorHAnsi"/>
        </w:rPr>
      </w:pPr>
    </w:p>
    <w:p w:rsidR="00FB0B92" w:rsidRPr="009A39D6" w:rsidRDefault="0059073A" w:rsidP="009A39D6">
      <w:pPr>
        <w:spacing w:before="120" w:after="120" w:line="300" w:lineRule="atLeast"/>
        <w:ind w:left="355" w:hanging="10"/>
        <w:jc w:val="left"/>
        <w:rPr>
          <w:rFonts w:asciiTheme="minorHAnsi" w:hAnsiTheme="minorHAnsi" w:cstheme="minorHAnsi"/>
        </w:rPr>
      </w:pPr>
      <w:r w:rsidRPr="009A39D6">
        <w:rPr>
          <w:rFonts w:asciiTheme="minorHAnsi" w:hAnsiTheme="minorHAnsi" w:cstheme="minorHAnsi"/>
          <w:b/>
        </w:rPr>
        <w:t xml:space="preserve">3) Distribución de la especie: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Distribuido por todo Eurasia por debajo de los paralelos 54º-56º N y por el norte de África (</w:t>
      </w:r>
      <w:proofErr w:type="spellStart"/>
      <w:r w:rsidRPr="009A39D6">
        <w:rPr>
          <w:rFonts w:asciiTheme="minorHAnsi" w:hAnsiTheme="minorHAnsi" w:cstheme="minorHAnsi"/>
        </w:rPr>
        <w:t>König</w:t>
      </w:r>
      <w:proofErr w:type="spellEnd"/>
      <w:r w:rsidRPr="009A39D6">
        <w:rPr>
          <w:rFonts w:asciiTheme="minorHAnsi" w:hAnsiTheme="minorHAnsi" w:cstheme="minorHAnsi"/>
        </w:rPr>
        <w:t xml:space="preserve"> &amp; </w:t>
      </w:r>
      <w:proofErr w:type="spellStart"/>
      <w:r w:rsidRPr="009A39D6">
        <w:rPr>
          <w:rFonts w:asciiTheme="minorHAnsi" w:hAnsiTheme="minorHAnsi" w:cstheme="minorHAnsi"/>
        </w:rPr>
        <w:t>weick</w:t>
      </w:r>
      <w:proofErr w:type="spellEnd"/>
      <w:r w:rsidRPr="009A39D6">
        <w:rPr>
          <w:rFonts w:asciiTheme="minorHAnsi" w:hAnsiTheme="minorHAnsi" w:cstheme="minorHAnsi"/>
        </w:rPr>
        <w:t xml:space="preserve">, 2008). En Europa se le puede encontrar en todos los países, salvo Irlanda, Islandia, Suecia, Finlandia y Noruega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Está ampliamente distribuido por la práctica totalidad de la península Ibérica, evitando los grandes sistemas montañosos, como buena parte de los Pirineos, cornisa cantábrica, Sistema Central y sierra de Segura, y se asienta en Mallorca y Menorca (Blas &amp; Muñoz, 2003).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En la CAPV se distribuye de forma irregular por las campiñas litorales y </w:t>
      </w:r>
      <w:proofErr w:type="spellStart"/>
      <w:r w:rsidRPr="009A39D6">
        <w:rPr>
          <w:rFonts w:asciiTheme="minorHAnsi" w:hAnsiTheme="minorHAnsi" w:cstheme="minorHAnsi"/>
        </w:rPr>
        <w:t>sublitorales</w:t>
      </w:r>
      <w:proofErr w:type="spellEnd"/>
      <w:r w:rsidRPr="009A39D6">
        <w:rPr>
          <w:rFonts w:asciiTheme="minorHAnsi" w:hAnsiTheme="minorHAnsi" w:cstheme="minorHAnsi"/>
        </w:rPr>
        <w:t xml:space="preserve">, además de algunos núcleos de población en las campiñas del interior de Bizkaia y Gipuzkoa, y de forma más general en las llanuras agrícolas de Araba. Los primeros datos de distribución de la especie son de comienzos de la década de los ochenta, con 20 cuadrículas UTM 10x10 km positivas (Álvarez </w:t>
      </w:r>
      <w:r w:rsidRPr="009A39D6">
        <w:rPr>
          <w:rFonts w:asciiTheme="minorHAnsi" w:hAnsiTheme="minorHAnsi" w:cstheme="minorHAnsi"/>
          <w:i/>
        </w:rPr>
        <w:t>et al</w:t>
      </w:r>
      <w:r w:rsidRPr="009A39D6">
        <w:rPr>
          <w:rFonts w:asciiTheme="minorHAnsi" w:hAnsiTheme="minorHAnsi" w:cstheme="minorHAnsi"/>
        </w:rPr>
        <w:t xml:space="preserve">., 1985; Fig. 1).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A finales de la década de los noventa y comienzos de los 2000 se desarrollaron varios trabajos en la CAPV. Así, Zuberogoitia (2002) detectó 272 territorios de mochuelos en Bizkaia distribuidos por siete zonas. La densidad de la especie varió notablemente en cada una de las zonas. Por ejemplo, en las colinas del valle de </w:t>
      </w:r>
      <w:proofErr w:type="spellStart"/>
      <w:r w:rsidRPr="009A39D6">
        <w:rPr>
          <w:rFonts w:asciiTheme="minorHAnsi" w:hAnsiTheme="minorHAnsi" w:cstheme="minorHAnsi"/>
        </w:rPr>
        <w:t>Karrantza</w:t>
      </w:r>
      <w:proofErr w:type="spellEnd"/>
      <w:r w:rsidRPr="009A39D6">
        <w:rPr>
          <w:rFonts w:asciiTheme="minorHAnsi" w:hAnsiTheme="minorHAnsi" w:cstheme="minorHAnsi"/>
        </w:rPr>
        <w:t xml:space="preserve"> se localizaron 51 parejas ocupando 39 km</w:t>
      </w:r>
      <w:r w:rsidRPr="009A39D6">
        <w:rPr>
          <w:rFonts w:asciiTheme="minorHAnsi" w:hAnsiTheme="minorHAnsi" w:cstheme="minorHAnsi"/>
          <w:vertAlign w:val="superscript"/>
        </w:rPr>
        <w:t>2</w:t>
      </w:r>
      <w:r w:rsidRPr="009A39D6">
        <w:rPr>
          <w:rFonts w:asciiTheme="minorHAnsi" w:hAnsiTheme="minorHAnsi" w:cstheme="minorHAnsi"/>
        </w:rPr>
        <w:t xml:space="preserve"> de hábitat disponible (1,31 parejas/km</w:t>
      </w:r>
      <w:r w:rsidRPr="009A39D6">
        <w:rPr>
          <w:rFonts w:asciiTheme="minorHAnsi" w:hAnsiTheme="minorHAnsi" w:cstheme="minorHAnsi"/>
          <w:vertAlign w:val="superscript"/>
        </w:rPr>
        <w:t>2</w:t>
      </w:r>
      <w:r w:rsidRPr="009A39D6">
        <w:rPr>
          <w:rFonts w:asciiTheme="minorHAnsi" w:hAnsiTheme="minorHAnsi" w:cstheme="minorHAnsi"/>
        </w:rPr>
        <w:t>); en las campiñas costeras de la margen izquierda del Nervión aparecieron 60 parejas en 29 km</w:t>
      </w:r>
      <w:r w:rsidRPr="009A39D6">
        <w:rPr>
          <w:rFonts w:asciiTheme="minorHAnsi" w:hAnsiTheme="minorHAnsi" w:cstheme="minorHAnsi"/>
          <w:vertAlign w:val="superscript"/>
        </w:rPr>
        <w:t>2</w:t>
      </w:r>
      <w:r w:rsidRPr="009A39D6">
        <w:rPr>
          <w:rFonts w:asciiTheme="minorHAnsi" w:hAnsiTheme="minorHAnsi" w:cstheme="minorHAnsi"/>
        </w:rPr>
        <w:t xml:space="preserve"> de hábitat disponible (2,07 parejas/km</w:t>
      </w:r>
      <w:r w:rsidRPr="009A39D6">
        <w:rPr>
          <w:rFonts w:asciiTheme="minorHAnsi" w:hAnsiTheme="minorHAnsi" w:cstheme="minorHAnsi"/>
          <w:vertAlign w:val="superscript"/>
        </w:rPr>
        <w:t>2</w:t>
      </w:r>
      <w:r w:rsidRPr="009A39D6">
        <w:rPr>
          <w:rFonts w:asciiTheme="minorHAnsi" w:hAnsiTheme="minorHAnsi" w:cstheme="minorHAnsi"/>
        </w:rPr>
        <w:t>); 49 parejas en 20 km</w:t>
      </w:r>
      <w:r w:rsidRPr="009A39D6">
        <w:rPr>
          <w:rFonts w:asciiTheme="minorHAnsi" w:hAnsiTheme="minorHAnsi" w:cstheme="minorHAnsi"/>
          <w:vertAlign w:val="superscript"/>
        </w:rPr>
        <w:t>2</w:t>
      </w:r>
      <w:r w:rsidRPr="009A39D6">
        <w:rPr>
          <w:rFonts w:asciiTheme="minorHAnsi" w:hAnsiTheme="minorHAnsi" w:cstheme="minorHAnsi"/>
        </w:rPr>
        <w:t xml:space="preserve"> disponibles (2,45 parejas/km</w:t>
      </w:r>
      <w:r w:rsidRPr="009A39D6">
        <w:rPr>
          <w:rFonts w:asciiTheme="minorHAnsi" w:hAnsiTheme="minorHAnsi" w:cstheme="minorHAnsi"/>
          <w:vertAlign w:val="superscript"/>
        </w:rPr>
        <w:t>2</w:t>
      </w:r>
      <w:r w:rsidRPr="009A39D6">
        <w:rPr>
          <w:rFonts w:asciiTheme="minorHAnsi" w:hAnsiTheme="minorHAnsi" w:cstheme="minorHAnsi"/>
        </w:rPr>
        <w:t xml:space="preserve">) en las campiñas costeras de </w:t>
      </w:r>
      <w:proofErr w:type="spellStart"/>
      <w:r w:rsidRPr="009A39D6">
        <w:rPr>
          <w:rFonts w:asciiTheme="minorHAnsi" w:hAnsiTheme="minorHAnsi" w:cstheme="minorHAnsi"/>
        </w:rPr>
        <w:t>Uribekosta</w:t>
      </w:r>
      <w:proofErr w:type="spellEnd"/>
      <w:r w:rsidRPr="009A39D6">
        <w:rPr>
          <w:rFonts w:asciiTheme="minorHAnsi" w:hAnsiTheme="minorHAnsi" w:cstheme="minorHAnsi"/>
        </w:rPr>
        <w:t>; 47 parejas en 21 km</w:t>
      </w:r>
      <w:r w:rsidRPr="009A39D6">
        <w:rPr>
          <w:rFonts w:asciiTheme="minorHAnsi" w:hAnsiTheme="minorHAnsi" w:cstheme="minorHAnsi"/>
          <w:vertAlign w:val="superscript"/>
        </w:rPr>
        <w:t>2</w:t>
      </w:r>
      <w:r w:rsidRPr="009A39D6">
        <w:rPr>
          <w:rFonts w:asciiTheme="minorHAnsi" w:hAnsiTheme="minorHAnsi" w:cstheme="minorHAnsi"/>
        </w:rPr>
        <w:t xml:space="preserve"> disponibles (2,24 parejas/km</w:t>
      </w:r>
      <w:r w:rsidRPr="009A39D6">
        <w:rPr>
          <w:rFonts w:asciiTheme="minorHAnsi" w:hAnsiTheme="minorHAnsi" w:cstheme="minorHAnsi"/>
          <w:vertAlign w:val="superscript"/>
        </w:rPr>
        <w:t>2</w:t>
      </w:r>
      <w:r w:rsidRPr="009A39D6">
        <w:rPr>
          <w:rFonts w:asciiTheme="minorHAnsi" w:hAnsiTheme="minorHAnsi" w:cstheme="minorHAnsi"/>
        </w:rPr>
        <w:t xml:space="preserve">) en las campiñas </w:t>
      </w:r>
      <w:proofErr w:type="spellStart"/>
      <w:r w:rsidRPr="009A39D6">
        <w:rPr>
          <w:rFonts w:asciiTheme="minorHAnsi" w:hAnsiTheme="minorHAnsi" w:cstheme="minorHAnsi"/>
        </w:rPr>
        <w:t>Mungialdea</w:t>
      </w:r>
      <w:proofErr w:type="spellEnd"/>
      <w:r w:rsidRPr="009A39D6">
        <w:rPr>
          <w:rFonts w:asciiTheme="minorHAnsi" w:hAnsiTheme="minorHAnsi" w:cstheme="minorHAnsi"/>
        </w:rPr>
        <w:t>; 28 las parejas en 15 km</w:t>
      </w:r>
      <w:r w:rsidRPr="009A39D6">
        <w:rPr>
          <w:rFonts w:asciiTheme="minorHAnsi" w:hAnsiTheme="minorHAnsi" w:cstheme="minorHAnsi"/>
          <w:vertAlign w:val="superscript"/>
        </w:rPr>
        <w:t>2</w:t>
      </w:r>
      <w:r w:rsidRPr="009A39D6">
        <w:rPr>
          <w:rFonts w:asciiTheme="minorHAnsi" w:hAnsiTheme="minorHAnsi" w:cstheme="minorHAnsi"/>
        </w:rPr>
        <w:t xml:space="preserve"> disponibles (1,87 parejas/km</w:t>
      </w:r>
      <w:r w:rsidRPr="009A39D6">
        <w:rPr>
          <w:rFonts w:asciiTheme="minorHAnsi" w:hAnsiTheme="minorHAnsi" w:cstheme="minorHAnsi"/>
          <w:vertAlign w:val="superscript"/>
        </w:rPr>
        <w:t>2</w:t>
      </w:r>
      <w:r w:rsidRPr="009A39D6">
        <w:rPr>
          <w:rFonts w:asciiTheme="minorHAnsi" w:hAnsiTheme="minorHAnsi" w:cstheme="minorHAnsi"/>
        </w:rPr>
        <w:t>) en las campiñas costeras de Urdaibai; y, por último, 10 parejas en 8 km</w:t>
      </w:r>
      <w:r w:rsidRPr="009A39D6">
        <w:rPr>
          <w:rFonts w:asciiTheme="minorHAnsi" w:hAnsiTheme="minorHAnsi" w:cstheme="minorHAnsi"/>
          <w:vertAlign w:val="superscript"/>
        </w:rPr>
        <w:t>2</w:t>
      </w:r>
      <w:r w:rsidRPr="009A39D6">
        <w:rPr>
          <w:rFonts w:asciiTheme="minorHAnsi" w:hAnsiTheme="minorHAnsi" w:cstheme="minorHAnsi"/>
        </w:rPr>
        <w:t xml:space="preserve"> de hábitat disponible (1,25 parejas/km</w:t>
      </w:r>
      <w:r w:rsidRPr="009A39D6">
        <w:rPr>
          <w:rFonts w:asciiTheme="minorHAnsi" w:hAnsiTheme="minorHAnsi" w:cstheme="minorHAnsi"/>
          <w:vertAlign w:val="superscript"/>
        </w:rPr>
        <w:t>2</w:t>
      </w:r>
      <w:r w:rsidRPr="009A39D6">
        <w:rPr>
          <w:rFonts w:asciiTheme="minorHAnsi" w:hAnsiTheme="minorHAnsi" w:cstheme="minorHAnsi"/>
        </w:rPr>
        <w:t xml:space="preserve">) en los prados </w:t>
      </w:r>
      <w:proofErr w:type="spellStart"/>
      <w:r w:rsidRPr="009A39D6">
        <w:rPr>
          <w:rFonts w:asciiTheme="minorHAnsi" w:hAnsiTheme="minorHAnsi" w:cstheme="minorHAnsi"/>
        </w:rPr>
        <w:t>subcantábricos</w:t>
      </w:r>
      <w:proofErr w:type="spellEnd"/>
      <w:r w:rsidRPr="009A39D6">
        <w:rPr>
          <w:rFonts w:asciiTheme="minorHAnsi" w:hAnsiTheme="minorHAnsi" w:cstheme="minorHAnsi"/>
        </w:rPr>
        <w:t xml:space="preserve"> del valle de Orduña. En varios de estos lugares los mochuelos aparecían en densidades relativamente altas, como las 5-6 parejas/km</w:t>
      </w:r>
      <w:r w:rsidRPr="009A39D6">
        <w:rPr>
          <w:rFonts w:asciiTheme="minorHAnsi" w:hAnsiTheme="minorHAnsi" w:cstheme="minorHAnsi"/>
          <w:vertAlign w:val="superscript"/>
        </w:rPr>
        <w:t>2</w:t>
      </w:r>
      <w:r w:rsidRPr="009A39D6">
        <w:rPr>
          <w:rFonts w:asciiTheme="minorHAnsi" w:hAnsiTheme="minorHAnsi" w:cstheme="minorHAnsi"/>
        </w:rPr>
        <w:t xml:space="preserve"> localizadas en los prados colinos de </w:t>
      </w:r>
      <w:proofErr w:type="spellStart"/>
      <w:r w:rsidRPr="009A39D6">
        <w:rPr>
          <w:rFonts w:asciiTheme="minorHAnsi" w:hAnsiTheme="minorHAnsi" w:cstheme="minorHAnsi"/>
        </w:rPr>
        <w:t>Santurtzi</w:t>
      </w:r>
      <w:proofErr w:type="spellEnd"/>
      <w:r w:rsidRPr="009A39D6">
        <w:rPr>
          <w:rFonts w:asciiTheme="minorHAnsi" w:hAnsiTheme="minorHAnsi" w:cstheme="minorHAnsi"/>
        </w:rPr>
        <w:t>, o hasta 7 parejas/km</w:t>
      </w:r>
      <w:r w:rsidRPr="009A39D6">
        <w:rPr>
          <w:rFonts w:asciiTheme="minorHAnsi" w:hAnsiTheme="minorHAnsi" w:cstheme="minorHAnsi"/>
          <w:vertAlign w:val="superscript"/>
        </w:rPr>
        <w:t>2</w:t>
      </w:r>
      <w:r w:rsidRPr="009A39D6">
        <w:rPr>
          <w:rFonts w:asciiTheme="minorHAnsi" w:hAnsiTheme="minorHAnsi" w:cstheme="minorHAnsi"/>
        </w:rPr>
        <w:t xml:space="preserve"> localizadas en el Valle de </w:t>
      </w:r>
      <w:proofErr w:type="spellStart"/>
      <w:r w:rsidRPr="009A39D6">
        <w:rPr>
          <w:rFonts w:asciiTheme="minorHAnsi" w:hAnsiTheme="minorHAnsi" w:cstheme="minorHAnsi"/>
        </w:rPr>
        <w:t>Mungia</w:t>
      </w:r>
      <w:proofErr w:type="spellEnd"/>
      <w:r w:rsidRPr="009A39D6">
        <w:rPr>
          <w:rFonts w:asciiTheme="minorHAnsi" w:hAnsiTheme="minorHAnsi" w:cstheme="minorHAnsi"/>
        </w:rPr>
        <w:t xml:space="preserve"> y 8 parejas/km</w:t>
      </w:r>
      <w:r w:rsidRPr="009A39D6">
        <w:rPr>
          <w:rFonts w:asciiTheme="minorHAnsi" w:hAnsiTheme="minorHAnsi" w:cstheme="minorHAnsi"/>
          <w:vertAlign w:val="superscript"/>
        </w:rPr>
        <w:t>2</w:t>
      </w:r>
      <w:r w:rsidRPr="009A39D6">
        <w:rPr>
          <w:rFonts w:asciiTheme="minorHAnsi" w:hAnsiTheme="minorHAnsi" w:cstheme="minorHAnsi"/>
        </w:rPr>
        <w:t xml:space="preserve"> en las landas costeras de </w:t>
      </w:r>
      <w:proofErr w:type="spellStart"/>
      <w:r w:rsidRPr="009A39D6">
        <w:rPr>
          <w:rFonts w:asciiTheme="minorHAnsi" w:hAnsiTheme="minorHAnsi" w:cstheme="minorHAnsi"/>
        </w:rPr>
        <w:t>Barrika</w:t>
      </w:r>
      <w:proofErr w:type="spellEnd"/>
      <w:r w:rsidRPr="009A39D6">
        <w:rPr>
          <w:rFonts w:asciiTheme="minorHAnsi" w:hAnsiTheme="minorHAnsi" w:cstheme="minorHAnsi"/>
        </w:rPr>
        <w:t xml:space="preserve"> (margen derecha del estuario del Nervión). Por su parte, </w:t>
      </w:r>
      <w:proofErr w:type="spellStart"/>
      <w:r w:rsidRPr="009A39D6">
        <w:rPr>
          <w:rFonts w:asciiTheme="minorHAnsi" w:hAnsiTheme="minorHAnsi" w:cstheme="minorHAnsi"/>
        </w:rPr>
        <w:t>Aierbe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(2001) lo detectaron en 11 cuadrículas en Gipuzkoa, ocupando principalmente la franja litoral y algún punto en campiñas de interior (Fig. 1). En Araba, Aguilar </w:t>
      </w:r>
      <w:r w:rsidRPr="009A39D6">
        <w:rPr>
          <w:rFonts w:asciiTheme="minorHAnsi" w:hAnsiTheme="minorHAnsi" w:cstheme="minorHAnsi"/>
          <w:i/>
        </w:rPr>
        <w:t>et al</w:t>
      </w:r>
      <w:r w:rsidRPr="009A39D6">
        <w:rPr>
          <w:rFonts w:asciiTheme="minorHAnsi" w:hAnsiTheme="minorHAnsi" w:cstheme="minorHAnsi"/>
        </w:rPr>
        <w:t xml:space="preserve">. (2001) obtuvieron resultados positivos en 22 cuadrículas UTM 10x10 km. Los autores lo consideraban repartido por todo el Territorio, frecuente en la Llanada, Rioja y Montaña Alavesa, pero también con extensas áreas sin citas.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Los resultados del censo de 2018 muestran una distribución de las cuadrículas ocupadas similar a la vista hasta ahora, con presencia en las campiñas litorales de Bizkaia y Gipuzkoa, así como en campiñas atlánticas del interior, algunas de ellas no citadas previamente, y una distribución más o menos bien repartida por Araba, principalmente por las áreas agrícolas mediterráneas y las campiñas </w:t>
      </w:r>
      <w:proofErr w:type="spellStart"/>
      <w:proofErr w:type="gramStart"/>
      <w:r w:rsidRPr="009A39D6">
        <w:rPr>
          <w:rFonts w:asciiTheme="minorHAnsi" w:hAnsiTheme="minorHAnsi" w:cstheme="minorHAnsi"/>
        </w:rPr>
        <w:t>subcantábricas</w:t>
      </w:r>
      <w:proofErr w:type="spellEnd"/>
      <w:r w:rsidRPr="009A39D6">
        <w:rPr>
          <w:rFonts w:asciiTheme="minorHAnsi" w:hAnsiTheme="minorHAnsi" w:cstheme="minorHAnsi"/>
        </w:rPr>
        <w:t xml:space="preserve">  (</w:t>
      </w:r>
      <w:proofErr w:type="gramEnd"/>
      <w:r w:rsidRPr="009A39D6">
        <w:rPr>
          <w:rFonts w:asciiTheme="minorHAnsi" w:hAnsiTheme="minorHAnsi" w:cstheme="minorHAnsi"/>
        </w:rPr>
        <w:t xml:space="preserve">Zuberogoitia, 2018; Fig. 1). </w:t>
      </w:r>
    </w:p>
    <w:p w:rsidR="00FB0B92" w:rsidRPr="009A39D6" w:rsidRDefault="0059073A" w:rsidP="009A39D6">
      <w:pPr>
        <w:spacing w:before="120" w:after="120" w:line="300" w:lineRule="atLeast"/>
        <w:ind w:left="0" w:right="878" w:firstLine="0"/>
        <w:rPr>
          <w:rFonts w:asciiTheme="minorHAnsi" w:hAnsiTheme="minorHAnsi" w:cstheme="minorHAnsi"/>
          <w:sz w:val="20"/>
          <w:szCs w:val="20"/>
        </w:rPr>
      </w:pPr>
      <w:r w:rsidRPr="009A39D6">
        <w:rPr>
          <w:rFonts w:asciiTheme="minorHAnsi" w:hAnsiTheme="minorHAnsi" w:cstheme="minorHAnsi"/>
          <w:i/>
          <w:sz w:val="20"/>
          <w:szCs w:val="20"/>
        </w:rPr>
        <w:t xml:space="preserve">Figura 1. Evolución de las poblaciones de mochuelo europeo en Euskadi entre 1980 y 2018. Información recogida en el atlas de vertebrados continentales del País Vasco (AVCPV 1985; Álvarez et al., 1985); censos y atlas llevados a cabo en cada uno de los tres Territorios Históricos a lo largo de la década de los noventa y primeros años de los 2000 (citas 2000); atlas de las aves reproductoras de España (AARE 2003; Martí &amp; del Moral, 2003); atlas de las aves </w:t>
      </w:r>
      <w:proofErr w:type="spellStart"/>
      <w:r w:rsidRPr="009A39D6">
        <w:rPr>
          <w:rFonts w:asciiTheme="minorHAnsi" w:hAnsiTheme="minorHAnsi" w:cstheme="minorHAnsi"/>
          <w:i/>
          <w:sz w:val="20"/>
          <w:szCs w:val="20"/>
        </w:rPr>
        <w:t>nidificantes</w:t>
      </w:r>
      <w:proofErr w:type="spellEnd"/>
      <w:r w:rsidRPr="009A39D6">
        <w:rPr>
          <w:rFonts w:asciiTheme="minorHAnsi" w:hAnsiTheme="minorHAnsi" w:cstheme="minorHAnsi"/>
          <w:i/>
          <w:sz w:val="20"/>
          <w:szCs w:val="20"/>
        </w:rPr>
        <w:t xml:space="preserve"> de Euskadi (ANE; Zuberogoitia, 2018). </w:t>
      </w:r>
    </w:p>
    <w:p w:rsidR="00FB0B92" w:rsidRPr="009A39D6" w:rsidRDefault="0059073A" w:rsidP="009A39D6">
      <w:pPr>
        <w:spacing w:before="120" w:after="120" w:line="300" w:lineRule="atLeast"/>
        <w:ind w:left="0" w:right="821" w:firstLine="0"/>
        <w:jc w:val="right"/>
        <w:rPr>
          <w:rFonts w:asciiTheme="minorHAnsi" w:hAnsiTheme="minorHAnsi" w:cstheme="minorHAnsi"/>
        </w:rPr>
      </w:pPr>
      <w:r w:rsidRPr="009A39D6">
        <w:rPr>
          <w:rFonts w:asciiTheme="minorHAnsi" w:hAnsiTheme="minorHAnsi" w:cstheme="minorHAnsi"/>
          <w:noProof/>
        </w:rPr>
        <w:drawing>
          <wp:inline distT="0" distB="0" distL="0" distR="0">
            <wp:extent cx="5399532" cy="3819144"/>
            <wp:effectExtent l="0" t="0" r="0" b="0"/>
            <wp:docPr id="437" name="Picture 437"/>
            <wp:cNvGraphicFramePr/>
            <a:graphic xmlns:a="http://schemas.openxmlformats.org/drawingml/2006/main">
              <a:graphicData uri="http://schemas.openxmlformats.org/drawingml/2006/picture">
                <pic:pic xmlns:pic="http://schemas.openxmlformats.org/drawingml/2006/picture">
                  <pic:nvPicPr>
                    <pic:cNvPr id="437" name="Picture 437"/>
                    <pic:cNvPicPr/>
                  </pic:nvPicPr>
                  <pic:blipFill>
                    <a:blip r:embed="rId8"/>
                    <a:stretch>
                      <a:fillRect/>
                    </a:stretch>
                  </pic:blipFill>
                  <pic:spPr>
                    <a:xfrm>
                      <a:off x="0" y="0"/>
                      <a:ext cx="5399532" cy="3819144"/>
                    </a:xfrm>
                    <a:prstGeom prst="rect">
                      <a:avLst/>
                    </a:prstGeom>
                  </pic:spPr>
                </pic:pic>
              </a:graphicData>
            </a:graphic>
          </wp:inline>
        </w:drawing>
      </w:r>
      <w:r w:rsidRPr="009A39D6">
        <w:rPr>
          <w:rFonts w:asciiTheme="minorHAnsi" w:eastAsia="Times New Roman" w:hAnsiTheme="minorHAnsi" w:cstheme="minorHAnsi"/>
        </w:rPr>
        <w:t xml:space="preserve"> </w:t>
      </w:r>
    </w:p>
    <w:p w:rsidR="00FB0B92" w:rsidRPr="009A39D6" w:rsidRDefault="0059073A" w:rsidP="009A39D6">
      <w:pPr>
        <w:spacing w:before="120" w:after="120" w:line="300" w:lineRule="atLeast"/>
        <w:ind w:left="0" w:firstLine="0"/>
        <w:jc w:val="left"/>
        <w:rPr>
          <w:rFonts w:asciiTheme="minorHAnsi" w:hAnsiTheme="minorHAnsi" w:cstheme="minorHAnsi"/>
        </w:rPr>
      </w:pPr>
      <w:r w:rsidRPr="009A39D6">
        <w:rPr>
          <w:rFonts w:asciiTheme="minorHAnsi" w:hAnsiTheme="minorHAnsi" w:cstheme="minorHAnsi"/>
        </w:rPr>
        <w:t xml:space="preserve"> </w:t>
      </w:r>
    </w:p>
    <w:p w:rsidR="00FB0B92" w:rsidRPr="009A39D6" w:rsidRDefault="0059073A" w:rsidP="009A39D6">
      <w:pPr>
        <w:numPr>
          <w:ilvl w:val="0"/>
          <w:numId w:val="1"/>
        </w:numPr>
        <w:spacing w:before="120" w:after="120" w:line="300" w:lineRule="atLeast"/>
        <w:ind w:hanging="349"/>
        <w:jc w:val="left"/>
        <w:rPr>
          <w:rFonts w:asciiTheme="minorHAnsi" w:hAnsiTheme="minorHAnsi" w:cstheme="minorHAnsi"/>
        </w:rPr>
      </w:pPr>
      <w:r w:rsidRPr="009A39D6">
        <w:rPr>
          <w:rFonts w:asciiTheme="minorHAnsi" w:hAnsiTheme="minorHAnsi" w:cstheme="minorHAnsi"/>
          <w:b/>
        </w:rPr>
        <w:t xml:space="preserve">Biología de la especie: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El mochuelo es una </w:t>
      </w:r>
      <w:proofErr w:type="gramStart"/>
      <w:r w:rsidRPr="009A39D6">
        <w:rPr>
          <w:rFonts w:asciiTheme="minorHAnsi" w:hAnsiTheme="minorHAnsi" w:cstheme="minorHAnsi"/>
        </w:rPr>
        <w:t>pequeña rapaz</w:t>
      </w:r>
      <w:proofErr w:type="gramEnd"/>
      <w:r w:rsidRPr="009A39D6">
        <w:rPr>
          <w:rFonts w:asciiTheme="minorHAnsi" w:hAnsiTheme="minorHAnsi" w:cstheme="minorHAnsi"/>
        </w:rPr>
        <w:t xml:space="preserve"> nocturna, vinculada a entornos agropecuarios (cultivos, prados de siega y pastos; Pérez-Olea, 1997; Martínez &amp; Zuberogoitia, 2004a;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Las unidades territoriales están compuestas por la pareja, que se mantiene a lo largo del año y durante varios años, hasta que alguno de los miembros desaparece. Cada pareja posee un territorio de nidificación, localizándose normalmente el nido en huecos de casas viejas, pajares y cuadras, aunque también anida en oquedades de paredes, canteras y peñas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Además, cada individuo posee varios lugares de descanso o dormideros, que puede compartir con su pareja, pollos del año o con mochuelos vecinos.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Su alimentación es muy variada, aunque un gran porcentaje de su dieta está basado en grandes invertebrados terrestres, principalmente lombrices, saltamontes, grillos y coleópteros, completando la dieta con </w:t>
      </w:r>
      <w:proofErr w:type="spellStart"/>
      <w:r w:rsidRPr="009A39D6">
        <w:rPr>
          <w:rFonts w:asciiTheme="minorHAnsi" w:hAnsiTheme="minorHAnsi" w:cstheme="minorHAnsi"/>
        </w:rPr>
        <w:t>micromamíferos</w:t>
      </w:r>
      <w:proofErr w:type="spellEnd"/>
      <w:r w:rsidRPr="009A39D6">
        <w:rPr>
          <w:rFonts w:asciiTheme="minorHAnsi" w:hAnsiTheme="minorHAnsi" w:cstheme="minorHAnsi"/>
        </w:rPr>
        <w:t xml:space="preserve">, pájaros, anfibios y reptiles (ver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Durante el otoño e invierno consume gran cantidad de lombrices (Zuberogoitia </w:t>
      </w:r>
      <w:r w:rsidRPr="009A39D6">
        <w:rPr>
          <w:rFonts w:asciiTheme="minorHAnsi" w:hAnsiTheme="minorHAnsi" w:cstheme="minorHAnsi"/>
          <w:i/>
        </w:rPr>
        <w:t>et al</w:t>
      </w:r>
      <w:r w:rsidRPr="009A39D6">
        <w:rPr>
          <w:rFonts w:asciiTheme="minorHAnsi" w:hAnsiTheme="minorHAnsi" w:cstheme="minorHAnsi"/>
        </w:rPr>
        <w:t xml:space="preserve">., 2007), mientras que durante el periodo de reproducción suele aportar presas más grandes al nido, como culebras y luciones, topillos, musarañas y ratas y pájaros habituales del entorno como gorriones comunes y golondrinas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w:t>
      </w:r>
    </w:p>
    <w:p w:rsidR="00FB0B92"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La actividad vocal de los mochuelos es continua durante todo el año, aunque en marzo y abril se incrementa la frecuencia de las llamadas, anunciando el celo (Zuberogoitia </w:t>
      </w:r>
      <w:r w:rsidRPr="009A39D6">
        <w:rPr>
          <w:rFonts w:asciiTheme="minorHAnsi" w:hAnsiTheme="minorHAnsi" w:cstheme="minorHAnsi"/>
          <w:i/>
        </w:rPr>
        <w:t>et al</w:t>
      </w:r>
      <w:r w:rsidRPr="009A39D6">
        <w:rPr>
          <w:rFonts w:asciiTheme="minorHAnsi" w:hAnsiTheme="minorHAnsi" w:cstheme="minorHAnsi"/>
        </w:rPr>
        <w:t xml:space="preserve">., 2007; 2011). Las puestas se realizan a partir de finales de abril, comenzando la incubación con el primer huevo, que se prolongará por 25-32 días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Los pollos son capaces de volar a los 28-32 días de edad. Unas semanas después de volar, los jóvenes mochuelos deambulan por las áreas de alrededor del territorio natal, iniciando una dispersión que no suele ser superior a 20 km de distancia, aunque algunos pueden moverse más de 100 km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Esto propicia el flujo genético entre sub-poblaciones. </w:t>
      </w:r>
    </w:p>
    <w:p w:rsidR="009A39D6" w:rsidRPr="009A39D6" w:rsidRDefault="009A39D6" w:rsidP="009A39D6">
      <w:pPr>
        <w:spacing w:before="120" w:after="120" w:line="300" w:lineRule="atLeast"/>
        <w:ind w:left="-15" w:right="865" w:firstLine="0"/>
        <w:rPr>
          <w:rFonts w:asciiTheme="minorHAnsi" w:hAnsiTheme="minorHAnsi" w:cstheme="minorHAnsi"/>
        </w:rPr>
      </w:pPr>
    </w:p>
    <w:p w:rsidR="00FB0B92" w:rsidRPr="009A39D6" w:rsidRDefault="0059073A" w:rsidP="009A39D6">
      <w:pPr>
        <w:numPr>
          <w:ilvl w:val="0"/>
          <w:numId w:val="1"/>
        </w:numPr>
        <w:spacing w:before="120" w:after="120" w:line="300" w:lineRule="atLeast"/>
        <w:ind w:hanging="349"/>
        <w:jc w:val="left"/>
        <w:rPr>
          <w:rFonts w:asciiTheme="minorHAnsi" w:hAnsiTheme="minorHAnsi" w:cstheme="minorHAnsi"/>
        </w:rPr>
      </w:pPr>
      <w:r w:rsidRPr="009A39D6">
        <w:rPr>
          <w:rFonts w:asciiTheme="minorHAnsi" w:hAnsiTheme="minorHAnsi" w:cstheme="minorHAnsi"/>
          <w:b/>
        </w:rPr>
        <w:t xml:space="preserve">Estado del conocimiento: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El nivel de conocimiento relativo al mochuelo común en la CAPV es relativamente bueno, especialmente si se compara con el de otras rapaces nocturnas, existiendo información actualizada sobre su distribución, uso de hábitat, reproducción y dinámicas estacionales. El mochuelo común se encuentra asociado a zonas abiertas, bien sean campiñas atlánticas o cultivos mediterráneos (Aguilar </w:t>
      </w:r>
      <w:r w:rsidRPr="009A39D6">
        <w:rPr>
          <w:rFonts w:asciiTheme="minorHAnsi" w:hAnsiTheme="minorHAnsi" w:cstheme="minorHAnsi"/>
          <w:i/>
        </w:rPr>
        <w:t>et al</w:t>
      </w:r>
      <w:r w:rsidRPr="009A39D6">
        <w:rPr>
          <w:rFonts w:asciiTheme="minorHAnsi" w:hAnsiTheme="minorHAnsi" w:cstheme="minorHAnsi"/>
        </w:rPr>
        <w:t xml:space="preserve">., 2001; </w:t>
      </w:r>
      <w:proofErr w:type="spellStart"/>
      <w:r w:rsidRPr="009A39D6">
        <w:rPr>
          <w:rFonts w:asciiTheme="minorHAnsi" w:hAnsiTheme="minorHAnsi" w:cstheme="minorHAnsi"/>
        </w:rPr>
        <w:t>Aierbe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2001; Zuberogoitia, 2002; 2009; 2018). Evita la proximidad de bosques y zonas arboladas, donde entra en conflicto con el cárabo común, el que actuaría como especie limitante de la distribución del mochuelo (Zabala </w:t>
      </w:r>
      <w:r w:rsidRPr="009A39D6">
        <w:rPr>
          <w:rFonts w:asciiTheme="minorHAnsi" w:hAnsiTheme="minorHAnsi" w:cstheme="minorHAnsi"/>
          <w:i/>
        </w:rPr>
        <w:t>et al</w:t>
      </w:r>
      <w:r w:rsidRPr="009A39D6">
        <w:rPr>
          <w:rFonts w:asciiTheme="minorHAnsi" w:hAnsiTheme="minorHAnsi" w:cstheme="minorHAnsi"/>
        </w:rPr>
        <w:t xml:space="preserve">., 2006).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La fragmentación de las campiñas y la reducción de las parcelas de prados y pastos, mediados por el crecimiento urbanístico o los cambios de los usos del suelo (incremento de plantaciones forestales), reducen las posibilidades ecológicas para el mochuelo, ocasionando la paulatina desaparición de la especie de zonas presuntamente adecuadas (Zabala </w:t>
      </w:r>
      <w:r w:rsidRPr="009A39D6">
        <w:rPr>
          <w:rFonts w:asciiTheme="minorHAnsi" w:hAnsiTheme="minorHAnsi" w:cstheme="minorHAnsi"/>
          <w:i/>
        </w:rPr>
        <w:t>et al</w:t>
      </w:r>
      <w:r w:rsidRPr="009A39D6">
        <w:rPr>
          <w:rFonts w:asciiTheme="minorHAnsi" w:hAnsiTheme="minorHAnsi" w:cstheme="minorHAnsi"/>
        </w:rPr>
        <w:t xml:space="preserve">., 2006).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Los mochuelos anidan en huecos de casas viejas, bajo tejas de cuadras, agujeros de paredes, canteras y acantilados (Zuberogoitia, 2002). Alrededor del nido, que normalmente es utilizado año tras año y generación tras generación, se encuentra el centro de actividad de la pareja (Zuberogoitia </w:t>
      </w:r>
      <w:r w:rsidRPr="009A39D6">
        <w:rPr>
          <w:rFonts w:asciiTheme="minorHAnsi" w:hAnsiTheme="minorHAnsi" w:cstheme="minorHAnsi"/>
          <w:i/>
        </w:rPr>
        <w:t>et al</w:t>
      </w:r>
      <w:r w:rsidRPr="009A39D6">
        <w:rPr>
          <w:rFonts w:asciiTheme="minorHAnsi" w:hAnsiTheme="minorHAnsi" w:cstheme="minorHAnsi"/>
        </w:rPr>
        <w:t xml:space="preserve">., 2007). Este entorno es el que utilizan en la época de reproducción, manteniendo un fuerte comportamiento territorial fundamentalmente vocal. A finales de abril, comienzos de mayo, realizan la puesta de tres a cinco huevos sobre un lecho de egagrópilas. Los pollos nacen hacia comienzos de junio y muchos de ellos ya están fuera del nido para San Juan (23 de </w:t>
      </w:r>
      <w:proofErr w:type="gramStart"/>
      <w:r w:rsidRPr="009A39D6">
        <w:rPr>
          <w:rFonts w:asciiTheme="minorHAnsi" w:hAnsiTheme="minorHAnsi" w:cstheme="minorHAnsi"/>
        </w:rPr>
        <w:t>Junio</w:t>
      </w:r>
      <w:proofErr w:type="gramEnd"/>
      <w:r w:rsidRPr="009A39D6">
        <w:rPr>
          <w:rFonts w:asciiTheme="minorHAnsi" w:hAnsiTheme="minorHAnsi" w:cstheme="minorHAnsi"/>
        </w:rPr>
        <w:t xml:space="preserve">). Aunque existen diferencias de fechas dependiendo de la latitud y altitud. Así, en el País Vasco, hay diferencias entre las puestas de la Rioja Alavesa y las de la costa, pudiendo ser de un par de semanas antes en el primer caso. Asimismo, a finales de junio, mientras los pollos de los mochuelos del valle de </w:t>
      </w:r>
      <w:proofErr w:type="spellStart"/>
      <w:r w:rsidRPr="009A39D6">
        <w:rPr>
          <w:rFonts w:asciiTheme="minorHAnsi" w:hAnsiTheme="minorHAnsi" w:cstheme="minorHAnsi"/>
        </w:rPr>
        <w:t>Mungia</w:t>
      </w:r>
      <w:proofErr w:type="spellEnd"/>
      <w:r w:rsidRPr="009A39D6">
        <w:rPr>
          <w:rFonts w:asciiTheme="minorHAnsi" w:hAnsiTheme="minorHAnsi" w:cstheme="minorHAnsi"/>
        </w:rPr>
        <w:t xml:space="preserve"> vuelan, algunos situados en las zonas altas de </w:t>
      </w:r>
      <w:proofErr w:type="spellStart"/>
      <w:r w:rsidRPr="009A39D6">
        <w:rPr>
          <w:rFonts w:asciiTheme="minorHAnsi" w:hAnsiTheme="minorHAnsi" w:cstheme="minorHAnsi"/>
        </w:rPr>
        <w:t>Karrantza</w:t>
      </w:r>
      <w:proofErr w:type="spellEnd"/>
      <w:r w:rsidRPr="009A39D6">
        <w:rPr>
          <w:rFonts w:asciiTheme="minorHAnsi" w:hAnsiTheme="minorHAnsi" w:cstheme="minorHAnsi"/>
        </w:rPr>
        <w:t xml:space="preserve"> están eclosionando (datos propios no publicados). Una vez finalizada la cría se diluyen los límites del territorio, mostrando una mayor tolerancia hacia otros mochuelos y expandiendo las áreas de campeo (Zuberogoitia </w:t>
      </w:r>
      <w:r w:rsidRPr="009A39D6">
        <w:rPr>
          <w:rFonts w:asciiTheme="minorHAnsi" w:hAnsiTheme="minorHAnsi" w:cstheme="minorHAnsi"/>
          <w:i/>
        </w:rPr>
        <w:t>et al</w:t>
      </w:r>
      <w:r w:rsidRPr="009A39D6">
        <w:rPr>
          <w:rFonts w:asciiTheme="minorHAnsi" w:hAnsiTheme="minorHAnsi" w:cstheme="minorHAnsi"/>
        </w:rPr>
        <w:t xml:space="preserve">., 2007). En invierno suele ser habitual encontrar los mochuelos de una misma zona alimentándose juntos en prados que, para algunos, se encuentran a varios kilómetros de los centros de actividad (Zuberogoitia </w:t>
      </w:r>
      <w:r w:rsidRPr="009A39D6">
        <w:rPr>
          <w:rFonts w:asciiTheme="minorHAnsi" w:hAnsiTheme="minorHAnsi" w:cstheme="minorHAnsi"/>
          <w:i/>
        </w:rPr>
        <w:t>et al</w:t>
      </w:r>
      <w:r w:rsidRPr="009A39D6">
        <w:rPr>
          <w:rFonts w:asciiTheme="minorHAnsi" w:hAnsiTheme="minorHAnsi" w:cstheme="minorHAnsi"/>
        </w:rPr>
        <w:t xml:space="preserve">., 2007). Esta sería una forma de aprovechar recursos temporales (lombrices, escarabajos, topillos, ranas, etc.) en zonas concretas. Así, los mochuelos alcanzan su óptimo de condición corporal en los meses más crudos del invierno. La fragmentación del paisaje condicionaría la disponibilidad de estos entornos “comunales”, dispersándolos entre un mosaico de zonas no apropiadas. </w:t>
      </w:r>
    </w:p>
    <w:p w:rsidR="00FB0B92"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Asimismo, se ha comprobado que la supervivencia adulta es alta, habiéndose controlado mochuelos de más de nueve años de edad criando año tras año en los mismos territorios (datos propios no publicados). Las principales causas de muerte conocida suelen ser los atropellos, la persecución directa y la depredación por parte de otras rapaces y de pollos en nido por parte de carnívoros (Zabala </w:t>
      </w:r>
      <w:r w:rsidRPr="009A39D6">
        <w:rPr>
          <w:rFonts w:asciiTheme="minorHAnsi" w:hAnsiTheme="minorHAnsi" w:cstheme="minorHAnsi"/>
          <w:i/>
        </w:rPr>
        <w:t>et al</w:t>
      </w:r>
      <w:r w:rsidRPr="009A39D6">
        <w:rPr>
          <w:rFonts w:asciiTheme="minorHAnsi" w:hAnsiTheme="minorHAnsi" w:cstheme="minorHAnsi"/>
        </w:rPr>
        <w:t xml:space="preserve">., 2006; Zuberogoitia </w:t>
      </w:r>
      <w:r w:rsidRPr="009A39D6">
        <w:rPr>
          <w:rFonts w:asciiTheme="minorHAnsi" w:hAnsiTheme="minorHAnsi" w:cstheme="minorHAnsi"/>
          <w:i/>
        </w:rPr>
        <w:t>et al</w:t>
      </w:r>
      <w:r w:rsidRPr="009A39D6">
        <w:rPr>
          <w:rFonts w:asciiTheme="minorHAnsi" w:hAnsiTheme="minorHAnsi" w:cstheme="minorHAnsi"/>
        </w:rPr>
        <w:t xml:space="preserve">., 2005, 2008). </w:t>
      </w:r>
    </w:p>
    <w:p w:rsidR="009A39D6" w:rsidRPr="009A39D6" w:rsidRDefault="009A39D6" w:rsidP="009A39D6">
      <w:pPr>
        <w:spacing w:before="120" w:after="120" w:line="300" w:lineRule="atLeast"/>
        <w:ind w:left="-15" w:right="865" w:firstLine="0"/>
        <w:rPr>
          <w:rFonts w:asciiTheme="minorHAnsi" w:hAnsiTheme="minorHAnsi" w:cstheme="minorHAnsi"/>
        </w:rPr>
      </w:pPr>
    </w:p>
    <w:p w:rsidR="00FB0B92" w:rsidRPr="009A39D6" w:rsidRDefault="0059073A" w:rsidP="009A39D6">
      <w:pPr>
        <w:spacing w:before="120" w:after="120" w:line="300" w:lineRule="atLeast"/>
        <w:ind w:left="355" w:hanging="10"/>
        <w:jc w:val="left"/>
        <w:rPr>
          <w:rFonts w:asciiTheme="minorHAnsi" w:hAnsiTheme="minorHAnsi" w:cstheme="minorHAnsi"/>
        </w:rPr>
      </w:pPr>
      <w:r w:rsidRPr="009A39D6">
        <w:rPr>
          <w:rFonts w:asciiTheme="minorHAnsi" w:hAnsiTheme="minorHAnsi" w:cstheme="minorHAnsi"/>
          <w:b/>
        </w:rPr>
        <w:t xml:space="preserve">6) Amenazas: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Al ser una especie muy ligada a entornos abiertos, tanto de cultivos mediterráneos como de campiñas agro-ganaderas atlánticas, es muy susceptible a las transformaciones que se han ido llevando a cabo en este tipo de hábitats (Martínez &amp; Zuberogoitia, 2003; 2004b; Andersen </w:t>
      </w:r>
      <w:r w:rsidRPr="009A39D6">
        <w:rPr>
          <w:rFonts w:asciiTheme="minorHAnsi" w:hAnsiTheme="minorHAnsi" w:cstheme="minorHAnsi"/>
          <w:i/>
        </w:rPr>
        <w:t>et al</w:t>
      </w:r>
      <w:r w:rsidRPr="009A39D6">
        <w:rPr>
          <w:rFonts w:asciiTheme="minorHAnsi" w:hAnsiTheme="minorHAnsi" w:cstheme="minorHAnsi"/>
        </w:rPr>
        <w:t xml:space="preserve">., 2017). Así, resulta muy vulnerable a la fragmentación del hábitat, bien debido a la atomización de los prados tras un proceso urbanístico, bien debido a la eliminación total de superficies aptas como consecuencia de la construcción de polígonos industriales o nuevas urbanizaciones o, bien por cambios en los modelos de cultivos, incremento de la superficie destinada a plantaciones forestales, etc. (Zuberogoitia, 2009). Estos factores han causado la desaparición del mochuelo en varias zonas y, desafortunadamente, no son reversibles.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El notable incremento de la red viaria en estos entornos está relacionado con la reducción de las poblaciones de mochuelos, básicamente debido al incremento de la mortalidad por atropellos que va reduciendo paulatinamente el número efectivo de esas poblaciones hasta causar su desaparición (Fajardo </w:t>
      </w:r>
      <w:r w:rsidRPr="009A39D6">
        <w:rPr>
          <w:rFonts w:asciiTheme="minorHAnsi" w:hAnsiTheme="minorHAnsi" w:cstheme="minorHAnsi"/>
          <w:i/>
        </w:rPr>
        <w:t>et al</w:t>
      </w:r>
      <w:r w:rsidRPr="009A39D6">
        <w:rPr>
          <w:rFonts w:asciiTheme="minorHAnsi" w:hAnsiTheme="minorHAnsi" w:cstheme="minorHAnsi"/>
        </w:rPr>
        <w:t xml:space="preserve">., 1998; Alonso </w:t>
      </w:r>
      <w:r w:rsidRPr="009A39D6">
        <w:rPr>
          <w:rFonts w:asciiTheme="minorHAnsi" w:hAnsiTheme="minorHAnsi" w:cstheme="minorHAnsi"/>
          <w:i/>
        </w:rPr>
        <w:t>et al</w:t>
      </w:r>
      <w:r w:rsidRPr="009A39D6">
        <w:rPr>
          <w:rFonts w:asciiTheme="minorHAnsi" w:hAnsiTheme="minorHAnsi" w:cstheme="minorHAnsi"/>
        </w:rPr>
        <w:t>., 1999; Martínez &amp; Zuberogoitia, 2004b). Asimismo, el aumento del número de edificios y otras estructuras determina un incremento de mortalidad de mochuelos debido a colisión con ventanas, cables, etc. (</w:t>
      </w:r>
      <w:proofErr w:type="spellStart"/>
      <w:r w:rsidRPr="009A39D6">
        <w:rPr>
          <w:rFonts w:asciiTheme="minorHAnsi" w:hAnsiTheme="minorHAnsi" w:cstheme="minorHAnsi"/>
        </w:rPr>
        <w:t>Thorup</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2013).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La remodelación de los edificios viejos (caseríos, cuadras, ermitas, iglesias, etc.) y su reconversión en casas de campo, chalets y edificios modernos, elimina la oferta de huecos en las paredes y bajo el tejado para anidar. Esta es la causa de la desaparición del mochuelo de algunas zonas que, a priori, se mantienen favorables en cuanto a la disponibilidad de hábitat se refiere (p. ej., Valle de Ayala y Orduña). De hecho, de acuerdo con Andersen </w:t>
      </w:r>
      <w:r w:rsidRPr="009A39D6">
        <w:rPr>
          <w:rFonts w:asciiTheme="minorHAnsi" w:hAnsiTheme="minorHAnsi" w:cstheme="minorHAnsi"/>
          <w:i/>
        </w:rPr>
        <w:t>et al</w:t>
      </w:r>
      <w:r w:rsidRPr="009A39D6">
        <w:rPr>
          <w:rFonts w:asciiTheme="minorHAnsi" w:hAnsiTheme="minorHAnsi" w:cstheme="minorHAnsi"/>
        </w:rPr>
        <w:t xml:space="preserve">. (2017) muchos mochuelos desaparecen de amplias zonas que, a priori, son ecológicamente adecuadas, simplemente porque se quedan sin lugares apropiados para anidar. En este caso, es posible reducir el impacto colocando cajas nido. </w:t>
      </w:r>
    </w:p>
    <w:p w:rsidR="00FB0B92"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Asimismo, la modernización de la agricultura y los fuertes cambios en los procedimientos y procesos de trabajo (intensificación agrícola) están llevando a la rápida desaparición de poblaciones en entornos agrícolas, no sólo por la pérdida directa de hábitats, sino también por el desplome de las poblaciones de invertebrados por el uso sistemático de </w:t>
      </w:r>
      <w:proofErr w:type="spellStart"/>
      <w:r w:rsidRPr="009A39D6">
        <w:rPr>
          <w:rFonts w:asciiTheme="minorHAnsi" w:hAnsiTheme="minorHAnsi" w:cstheme="minorHAnsi"/>
        </w:rPr>
        <w:t>biocidas</w:t>
      </w:r>
      <w:proofErr w:type="spellEnd"/>
      <w:r w:rsidRPr="009A39D6">
        <w:rPr>
          <w:rFonts w:asciiTheme="minorHAnsi" w:hAnsiTheme="minorHAnsi" w:cstheme="minorHAnsi"/>
        </w:rPr>
        <w:t xml:space="preserve"> y la desaparición de plantas nutricionales (ver p. ej. en </w:t>
      </w:r>
      <w:proofErr w:type="spellStart"/>
      <w:r w:rsidRPr="009A39D6">
        <w:rPr>
          <w:rFonts w:asciiTheme="minorHAnsi" w:hAnsiTheme="minorHAnsi" w:cstheme="minorHAnsi"/>
        </w:rPr>
        <w:t>König</w:t>
      </w:r>
      <w:proofErr w:type="spellEnd"/>
      <w:r w:rsidRPr="009A39D6">
        <w:rPr>
          <w:rFonts w:asciiTheme="minorHAnsi" w:hAnsiTheme="minorHAnsi" w:cstheme="minorHAnsi"/>
        </w:rPr>
        <w:t xml:space="preserve"> &amp; </w:t>
      </w:r>
      <w:proofErr w:type="spellStart"/>
      <w:r w:rsidRPr="009A39D6">
        <w:rPr>
          <w:rFonts w:asciiTheme="minorHAnsi" w:hAnsiTheme="minorHAnsi" w:cstheme="minorHAnsi"/>
        </w:rPr>
        <w:t>Weick</w:t>
      </w:r>
      <w:proofErr w:type="spellEnd"/>
      <w:r w:rsidRPr="009A39D6">
        <w:rPr>
          <w:rFonts w:asciiTheme="minorHAnsi" w:hAnsiTheme="minorHAnsi" w:cstheme="minorHAnsi"/>
        </w:rPr>
        <w:t xml:space="preserve">, 2008; Andersen </w:t>
      </w:r>
      <w:r w:rsidRPr="009A39D6">
        <w:rPr>
          <w:rFonts w:asciiTheme="minorHAnsi" w:hAnsiTheme="minorHAnsi" w:cstheme="minorHAnsi"/>
          <w:i/>
        </w:rPr>
        <w:t>et al</w:t>
      </w:r>
      <w:r w:rsidRPr="009A39D6">
        <w:rPr>
          <w:rFonts w:asciiTheme="minorHAnsi" w:hAnsiTheme="minorHAnsi" w:cstheme="minorHAnsi"/>
        </w:rPr>
        <w:t xml:space="preserve">., 2017; </w:t>
      </w:r>
      <w:proofErr w:type="spellStart"/>
      <w:r w:rsidRPr="009A39D6">
        <w:rPr>
          <w:rFonts w:asciiTheme="minorHAnsi" w:hAnsiTheme="minorHAnsi" w:cstheme="minorHAnsi"/>
        </w:rPr>
        <w:t>Chrenková</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2017; Michel </w:t>
      </w:r>
      <w:r w:rsidRPr="009A39D6">
        <w:rPr>
          <w:rFonts w:asciiTheme="minorHAnsi" w:hAnsiTheme="minorHAnsi" w:cstheme="minorHAnsi"/>
          <w:i/>
        </w:rPr>
        <w:t>et al</w:t>
      </w:r>
      <w:r w:rsidRPr="009A39D6">
        <w:rPr>
          <w:rFonts w:asciiTheme="minorHAnsi" w:hAnsiTheme="minorHAnsi" w:cstheme="minorHAnsi"/>
        </w:rPr>
        <w:t xml:space="preserve">., 2017;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2018). Es preciso tener en cuenta que el mochuelo es una especie que depreda en gran medida sobre grandes insectos que detecta por el canto o su movimiento, por lo que los cambios en la abundancia de ortópteros y coleópteros producen cambios en la estructura poblacional de la especie (Rey-</w:t>
      </w:r>
      <w:proofErr w:type="spellStart"/>
      <w:r w:rsidRPr="009A39D6">
        <w:rPr>
          <w:rFonts w:asciiTheme="minorHAnsi" w:hAnsiTheme="minorHAnsi" w:cstheme="minorHAnsi"/>
        </w:rPr>
        <w:t>Beyanas</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2010). La reducción de la disponibilidad de presas debido a la desaparición de </w:t>
      </w:r>
      <w:proofErr w:type="spellStart"/>
      <w:r w:rsidRPr="009A39D6">
        <w:rPr>
          <w:rFonts w:asciiTheme="minorHAnsi" w:hAnsiTheme="minorHAnsi" w:cstheme="minorHAnsi"/>
        </w:rPr>
        <w:t>ecotonos</w:t>
      </w:r>
      <w:proofErr w:type="spellEnd"/>
      <w:r w:rsidRPr="009A39D6">
        <w:rPr>
          <w:rFonts w:asciiTheme="minorHAnsi" w:hAnsiTheme="minorHAnsi" w:cstheme="minorHAnsi"/>
        </w:rPr>
        <w:t xml:space="preserve"> y mosaicos vegetales condiciona el tamaño de áreas de campeo que los mochuelos deben tener y, a su vez, el éxito reproductor y la productividad, derivando en la desaparición de poblaciones (Michel </w:t>
      </w:r>
      <w:r w:rsidRPr="009A39D6">
        <w:rPr>
          <w:rFonts w:asciiTheme="minorHAnsi" w:hAnsiTheme="minorHAnsi" w:cstheme="minorHAnsi"/>
          <w:i/>
        </w:rPr>
        <w:t>et al</w:t>
      </w:r>
      <w:r w:rsidRPr="009A39D6">
        <w:rPr>
          <w:rFonts w:asciiTheme="minorHAnsi" w:hAnsiTheme="minorHAnsi" w:cstheme="minorHAnsi"/>
        </w:rPr>
        <w:t xml:space="preserve">., 2017; </w:t>
      </w:r>
      <w:proofErr w:type="spellStart"/>
      <w:r w:rsidRPr="009A39D6">
        <w:rPr>
          <w:rFonts w:asciiTheme="minorHAnsi" w:hAnsiTheme="minorHAnsi" w:cstheme="minorHAnsi"/>
        </w:rPr>
        <w:t>Staggenborg</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2017). Además, en el entorno Cantábrico se produce un abuso de </w:t>
      </w:r>
      <w:proofErr w:type="spellStart"/>
      <w:r w:rsidRPr="009A39D6">
        <w:rPr>
          <w:rFonts w:asciiTheme="minorHAnsi" w:hAnsiTheme="minorHAnsi" w:cstheme="minorHAnsi"/>
        </w:rPr>
        <w:t>biocidas</w:t>
      </w:r>
      <w:proofErr w:type="spellEnd"/>
      <w:r w:rsidRPr="009A39D6">
        <w:rPr>
          <w:rFonts w:asciiTheme="minorHAnsi" w:hAnsiTheme="minorHAnsi" w:cstheme="minorHAnsi"/>
        </w:rPr>
        <w:t xml:space="preserve"> en los entornos rurales y, cada vez más, en los jardines privados, lo que produce la muerte por envenenamiento secundario de mochuelos (ver p. ej., Jaspers </w:t>
      </w:r>
      <w:r w:rsidRPr="009A39D6">
        <w:rPr>
          <w:rFonts w:asciiTheme="minorHAnsi" w:hAnsiTheme="minorHAnsi" w:cstheme="minorHAnsi"/>
          <w:i/>
        </w:rPr>
        <w:t>et al</w:t>
      </w:r>
      <w:r w:rsidRPr="009A39D6">
        <w:rPr>
          <w:rFonts w:asciiTheme="minorHAnsi" w:hAnsiTheme="minorHAnsi" w:cstheme="minorHAnsi"/>
        </w:rPr>
        <w:t xml:space="preserve">., 2005). </w:t>
      </w:r>
    </w:p>
    <w:p w:rsidR="009A39D6" w:rsidRPr="009A39D6" w:rsidRDefault="009A39D6" w:rsidP="009A39D6">
      <w:pPr>
        <w:spacing w:before="120" w:after="120" w:line="300" w:lineRule="atLeast"/>
        <w:ind w:left="-15" w:right="865" w:firstLine="0"/>
        <w:rPr>
          <w:rFonts w:asciiTheme="minorHAnsi" w:hAnsiTheme="minorHAnsi" w:cstheme="minorHAnsi"/>
        </w:rPr>
      </w:pPr>
    </w:p>
    <w:p w:rsidR="00FB0B92" w:rsidRPr="009A39D6" w:rsidRDefault="0059073A" w:rsidP="009A39D6">
      <w:pPr>
        <w:spacing w:before="120" w:after="120" w:line="300" w:lineRule="atLeast"/>
        <w:ind w:left="355" w:hanging="10"/>
        <w:jc w:val="left"/>
        <w:rPr>
          <w:rFonts w:asciiTheme="minorHAnsi" w:hAnsiTheme="minorHAnsi" w:cstheme="minorHAnsi"/>
        </w:rPr>
      </w:pPr>
      <w:r w:rsidRPr="009A39D6">
        <w:rPr>
          <w:rFonts w:asciiTheme="minorHAnsi" w:hAnsiTheme="minorHAnsi" w:cstheme="minorHAnsi"/>
          <w:b/>
        </w:rPr>
        <w:t xml:space="preserve">7) Acciones de conservación: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En 1995-96 se colocaron 75 cajas nido para mochuelos en Bizkaia, resultando que la mayoría de las cajas fueron robadas, tiroteadas, destrozadas, etc., debido a su ubicación en zonas de campiña por las que el tránsito de gente es elevado y los actos vandálicos muy probables (Zuberogoitia &amp; Campos, 1996). Por lo tanto, de llevarse a cabo nuevos proyectos, deberían contemplar la colocación de las cajas por parte de los vecinos en sus propios terrenos, realizando previamente campañas de sensibilización. Este método ha resultado muy positivo en regiones de Francia, Bélgica e Inglaterra (Van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2008).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Para incrementar las posibilidades de asentamiento de nuevas parejas en zonas potencialmente aptas para la especie (p. ej. Valle de Ayala-Orduña), sería necesario desarrollar una campaña de sensibilización ciudadana y colocación de cajas nido. A modo de ejemplo, en </w:t>
      </w:r>
      <w:proofErr w:type="spellStart"/>
      <w:r w:rsidRPr="009A39D6">
        <w:rPr>
          <w:rFonts w:asciiTheme="minorHAnsi" w:hAnsiTheme="minorHAnsi" w:cstheme="minorHAnsi"/>
        </w:rPr>
        <w:t>Mungia</w:t>
      </w:r>
      <w:proofErr w:type="spellEnd"/>
      <w:r w:rsidRPr="009A39D6">
        <w:rPr>
          <w:rFonts w:asciiTheme="minorHAnsi" w:hAnsiTheme="minorHAnsi" w:cstheme="minorHAnsi"/>
        </w:rPr>
        <w:t xml:space="preserve"> se han desarrollado una serie de iniciativas en este sentido, publicándose dos libritos en los que se explica la situación del mochuelo en la campiña y las medidas que se pueden desarrollar para conservarlo (Zuberogoitia, 2007) y la diversidad animal de la campiña (Zuberogoitia, 2008). Aquí se recoge la necesidad de proporcionar cajas nido, así como los problemas derivados del empleo abusivo de venenos para lombrices, ratas y topos que acaba, invariablemente, con la desaparición de los mochuelos.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Una de las caídas poblacionales más importantes en la última década ha sido la de la Llanada alavesa y La Rioja Alavesa, debido fundamentalmente a las transformaciones agrícolas sufridas. Sería recomendable incorporar prácticas agrícolas sostenibles y procedimientos tradicionales. Revertir la destrucción de </w:t>
      </w:r>
      <w:proofErr w:type="spellStart"/>
      <w:r w:rsidRPr="009A39D6">
        <w:rPr>
          <w:rFonts w:asciiTheme="minorHAnsi" w:hAnsiTheme="minorHAnsi" w:cstheme="minorHAnsi"/>
        </w:rPr>
        <w:t>ecotonos</w:t>
      </w:r>
      <w:proofErr w:type="spellEnd"/>
      <w:r w:rsidRPr="009A39D6">
        <w:rPr>
          <w:rFonts w:asciiTheme="minorHAnsi" w:hAnsiTheme="minorHAnsi" w:cstheme="minorHAnsi"/>
        </w:rPr>
        <w:t xml:space="preserve"> (lindes de vegetación arbustiva, parcelas de matorral mediterráneo, etc.) que se ha ido produciendo de forma sistemática, creando setos vivos, parcelas libres de herbicidas para que prosperen las plantas silvestres, etc. (ver </w:t>
      </w:r>
      <w:proofErr w:type="spellStart"/>
      <w:r w:rsidRPr="009A39D6">
        <w:rPr>
          <w:rFonts w:asciiTheme="minorHAnsi" w:hAnsiTheme="minorHAnsi" w:cstheme="minorHAnsi"/>
        </w:rPr>
        <w:t>Apolloni</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2018). Reducir el empleo de </w:t>
      </w:r>
      <w:proofErr w:type="spellStart"/>
      <w:r w:rsidRPr="009A39D6">
        <w:rPr>
          <w:rFonts w:asciiTheme="minorHAnsi" w:hAnsiTheme="minorHAnsi" w:cstheme="minorHAnsi"/>
        </w:rPr>
        <w:t>biocidas</w:t>
      </w:r>
      <w:proofErr w:type="spellEnd"/>
      <w:r w:rsidRPr="009A39D6">
        <w:rPr>
          <w:rFonts w:asciiTheme="minorHAnsi" w:hAnsiTheme="minorHAnsi" w:cstheme="minorHAnsi"/>
        </w:rPr>
        <w:t xml:space="preserve"> e incrementar las superficies de cultivo ecológico. Además, mediante estas medidas también sería posible adecuar zonas con condiciones ecológicas favorables para el mochuelo en las que esté ausente (ver </w:t>
      </w:r>
      <w:proofErr w:type="spellStart"/>
      <w:r w:rsidRPr="009A39D6">
        <w:rPr>
          <w:rFonts w:asciiTheme="minorHAnsi" w:hAnsiTheme="minorHAnsi" w:cstheme="minorHAnsi"/>
        </w:rPr>
        <w:t>Fattebert</w:t>
      </w:r>
      <w:proofErr w:type="spellEnd"/>
      <w:r w:rsidRPr="009A39D6">
        <w:rPr>
          <w:rFonts w:asciiTheme="minorHAnsi" w:hAnsiTheme="minorHAnsi" w:cstheme="minorHAnsi"/>
        </w:rPr>
        <w:t xml:space="preserve"> </w:t>
      </w:r>
      <w:r w:rsidRPr="009A39D6">
        <w:rPr>
          <w:rFonts w:asciiTheme="minorHAnsi" w:hAnsiTheme="minorHAnsi" w:cstheme="minorHAnsi"/>
          <w:i/>
        </w:rPr>
        <w:t>et al</w:t>
      </w:r>
      <w:r w:rsidRPr="009A39D6">
        <w:rPr>
          <w:rFonts w:asciiTheme="minorHAnsi" w:hAnsiTheme="minorHAnsi" w:cstheme="minorHAnsi"/>
        </w:rPr>
        <w:t xml:space="preserve">., 2018). </w:t>
      </w:r>
    </w:p>
    <w:p w:rsidR="00FB0B92"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Sería recomendable también que, a la hora de planificar nuevos proyectos de infraestructuras, urbanizaciones, polígonos industriales, etc., se tuviese en cuenta la existencia de núcleos de población de la especie y el impacto directo (pérdida de hábitat) e indirecto (goteo de muertes por atropello) que pueda causar. </w:t>
      </w:r>
    </w:p>
    <w:p w:rsidR="009A39D6" w:rsidRPr="009A39D6" w:rsidRDefault="009A39D6" w:rsidP="009A39D6">
      <w:pPr>
        <w:spacing w:before="120" w:after="120" w:line="300" w:lineRule="atLeast"/>
        <w:ind w:left="-15" w:right="865" w:firstLine="0"/>
        <w:rPr>
          <w:rFonts w:asciiTheme="minorHAnsi" w:hAnsiTheme="minorHAnsi" w:cstheme="minorHAnsi"/>
        </w:rPr>
      </w:pPr>
    </w:p>
    <w:p w:rsidR="00FB0B92" w:rsidRPr="009A39D6" w:rsidRDefault="0059073A" w:rsidP="009A39D6">
      <w:pPr>
        <w:numPr>
          <w:ilvl w:val="0"/>
          <w:numId w:val="2"/>
        </w:numPr>
        <w:spacing w:before="120" w:after="120" w:line="300" w:lineRule="atLeast"/>
        <w:ind w:hanging="349"/>
        <w:jc w:val="left"/>
        <w:rPr>
          <w:rFonts w:asciiTheme="minorHAnsi" w:hAnsiTheme="minorHAnsi" w:cstheme="minorHAnsi"/>
        </w:rPr>
      </w:pPr>
      <w:r w:rsidRPr="009A39D6">
        <w:rPr>
          <w:rFonts w:asciiTheme="minorHAnsi" w:hAnsiTheme="minorHAnsi" w:cstheme="minorHAnsi"/>
          <w:b/>
        </w:rPr>
        <w:t xml:space="preserve">Objetivo de conservación: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En la vertiente cantábrica del País Vasco, donde las poblaciones son más escasas y están sometidas a un mayor número de amenazas, el objetivo básico sería el de conservar las unidades poblaciones viables. Estas unidades deberían tener una densidad media de 2-3 parejas de mochuelos/km</w:t>
      </w:r>
      <w:r w:rsidRPr="009A39D6">
        <w:rPr>
          <w:rFonts w:asciiTheme="minorHAnsi" w:hAnsiTheme="minorHAnsi" w:cstheme="minorHAnsi"/>
          <w:vertAlign w:val="superscript"/>
        </w:rPr>
        <w:t>2</w:t>
      </w:r>
      <w:r w:rsidRPr="009A39D6">
        <w:rPr>
          <w:rFonts w:asciiTheme="minorHAnsi" w:hAnsiTheme="minorHAnsi" w:cstheme="minorHAnsi"/>
        </w:rPr>
        <w:t xml:space="preserve">. Estas unidades actúan conectando la </w:t>
      </w:r>
      <w:proofErr w:type="spellStart"/>
      <w:r w:rsidRPr="009A39D6">
        <w:rPr>
          <w:rFonts w:asciiTheme="minorHAnsi" w:hAnsiTheme="minorHAnsi" w:cstheme="minorHAnsi"/>
        </w:rPr>
        <w:t>metapoblación</w:t>
      </w:r>
      <w:proofErr w:type="spellEnd"/>
      <w:r w:rsidRPr="009A39D6">
        <w:rPr>
          <w:rFonts w:asciiTheme="minorHAnsi" w:hAnsiTheme="minorHAnsi" w:cstheme="minorHAnsi"/>
        </w:rPr>
        <w:t xml:space="preserve"> del País Vasco y asegurando su futuro. </w:t>
      </w:r>
    </w:p>
    <w:p w:rsidR="00FB0B92" w:rsidRPr="009A39D6"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 xml:space="preserve">Debería, por tanto, enfocarse los esfuerzos en mantener las “islas” poblacionales actuales, tanto su distribución como abundancia, e intentar recuperar algunas de las poblaciones que se han perdido en los últimos años y que pueden responder a medidas relativamente sencillas (p. ej. Valle de Ayala-Orduña). En otros casos la transformación del hábitat ha sido tan acusada que no resulta posible recuperar las poblaciones perdidas, por lo que se debería tener en cuenta estos modelos de </w:t>
      </w:r>
      <w:proofErr w:type="spellStart"/>
      <w:r w:rsidRPr="009A39D6">
        <w:rPr>
          <w:rFonts w:asciiTheme="minorHAnsi" w:hAnsiTheme="minorHAnsi" w:cstheme="minorHAnsi"/>
        </w:rPr>
        <w:t>microextinciones</w:t>
      </w:r>
      <w:proofErr w:type="spellEnd"/>
      <w:r w:rsidRPr="009A39D6">
        <w:rPr>
          <w:rFonts w:asciiTheme="minorHAnsi" w:hAnsiTheme="minorHAnsi" w:cstheme="minorHAnsi"/>
        </w:rPr>
        <w:t xml:space="preserve"> a la hora de desarrollar proyectos que puedan afectar a las poblaciones remanentes.  </w:t>
      </w:r>
    </w:p>
    <w:p w:rsidR="00FB0B92" w:rsidRDefault="0059073A" w:rsidP="009A39D6">
      <w:pPr>
        <w:spacing w:before="120" w:after="120" w:line="300" w:lineRule="atLeast"/>
        <w:ind w:left="-15" w:right="865" w:firstLine="0"/>
        <w:rPr>
          <w:rFonts w:asciiTheme="minorHAnsi" w:hAnsiTheme="minorHAnsi" w:cstheme="minorHAnsi"/>
        </w:rPr>
      </w:pPr>
      <w:r w:rsidRPr="009A39D6">
        <w:rPr>
          <w:rFonts w:asciiTheme="minorHAnsi" w:hAnsiTheme="minorHAnsi" w:cstheme="minorHAnsi"/>
        </w:rPr>
        <w:t>En el caso de la vertiente mediterránea, el objetivo de conservación sería revertir el proceso de declive en entornos agrícolas, para lo cual sería necesario desarrollar modelos de cu</w:t>
      </w:r>
      <w:r w:rsidR="009A39D6">
        <w:rPr>
          <w:rFonts w:asciiTheme="minorHAnsi" w:hAnsiTheme="minorHAnsi" w:cstheme="minorHAnsi"/>
        </w:rPr>
        <w:t xml:space="preserve">ltivos agrícolas sostenibles. </w:t>
      </w:r>
    </w:p>
    <w:p w:rsidR="009A39D6" w:rsidRPr="009A39D6" w:rsidRDefault="009A39D6" w:rsidP="009A39D6">
      <w:pPr>
        <w:spacing w:before="120" w:after="120" w:line="300" w:lineRule="atLeast"/>
        <w:ind w:left="-15" w:right="865" w:firstLine="0"/>
        <w:rPr>
          <w:rFonts w:asciiTheme="minorHAnsi" w:hAnsiTheme="minorHAnsi" w:cstheme="minorHAnsi"/>
        </w:rPr>
      </w:pPr>
    </w:p>
    <w:p w:rsidR="00FB0B92" w:rsidRPr="009A39D6" w:rsidRDefault="0059073A" w:rsidP="009A39D6">
      <w:pPr>
        <w:numPr>
          <w:ilvl w:val="0"/>
          <w:numId w:val="2"/>
        </w:numPr>
        <w:spacing w:before="120" w:after="120" w:line="300" w:lineRule="atLeast"/>
        <w:ind w:hanging="349"/>
        <w:jc w:val="left"/>
        <w:rPr>
          <w:rFonts w:asciiTheme="minorHAnsi" w:hAnsiTheme="minorHAnsi" w:cstheme="minorHAnsi"/>
        </w:rPr>
      </w:pPr>
      <w:r w:rsidRPr="009A39D6">
        <w:rPr>
          <w:rFonts w:asciiTheme="minorHAnsi" w:hAnsiTheme="minorHAnsi" w:cstheme="minorHAnsi"/>
          <w:b/>
        </w:rPr>
        <w:t xml:space="preserve">Bibliografía: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Aguilar, A.J., Paniagua, D., </w:t>
      </w:r>
      <w:proofErr w:type="spellStart"/>
      <w:r w:rsidRPr="009A39D6">
        <w:rPr>
          <w:rFonts w:asciiTheme="minorHAnsi" w:hAnsiTheme="minorHAnsi" w:cstheme="minorHAnsi"/>
        </w:rPr>
        <w:t>Illana</w:t>
      </w:r>
      <w:proofErr w:type="spellEnd"/>
      <w:r w:rsidRPr="009A39D6">
        <w:rPr>
          <w:rFonts w:asciiTheme="minorHAnsi" w:hAnsiTheme="minorHAnsi" w:cstheme="minorHAnsi"/>
        </w:rPr>
        <w:t xml:space="preserve">, A. &amp; De Lecea, F.M. 2001. Estudio de la comunidad de rapaces nocturnas en el Territorio Histórico de Álava. Grupo Alavés para la Defensa y Estudio de la Naturaleza. Vitoria-Gasteiz. Informe inédito. 129 pp. + App.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Aierbe</w:t>
      </w:r>
      <w:proofErr w:type="spellEnd"/>
      <w:r w:rsidRPr="009A39D6">
        <w:rPr>
          <w:rFonts w:asciiTheme="minorHAnsi" w:hAnsiTheme="minorHAnsi" w:cstheme="minorHAnsi"/>
        </w:rPr>
        <w:t xml:space="preserve">, T., Olano, M. &amp; Vázquez, J. 2001. Atlas de las aves </w:t>
      </w:r>
      <w:proofErr w:type="spellStart"/>
      <w:r w:rsidRPr="009A39D6">
        <w:rPr>
          <w:rFonts w:asciiTheme="minorHAnsi" w:hAnsiTheme="minorHAnsi" w:cstheme="minorHAnsi"/>
        </w:rPr>
        <w:t>nidificantes</w:t>
      </w:r>
      <w:proofErr w:type="spellEnd"/>
      <w:r w:rsidRPr="009A39D6">
        <w:rPr>
          <w:rFonts w:asciiTheme="minorHAnsi" w:hAnsiTheme="minorHAnsi" w:cstheme="minorHAnsi"/>
        </w:rPr>
        <w:t xml:space="preserve"> de Guipúzcoa. </w:t>
      </w:r>
      <w:proofErr w:type="spellStart"/>
      <w:r w:rsidRPr="009A39D6">
        <w:rPr>
          <w:rFonts w:asciiTheme="minorHAnsi" w:hAnsiTheme="minorHAnsi" w:cstheme="minorHAnsi"/>
        </w:rPr>
        <w:t>Munibe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Cienc</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Nat</w:t>
      </w:r>
      <w:proofErr w:type="spellEnd"/>
      <w:r w:rsidRPr="009A39D6">
        <w:rPr>
          <w:rFonts w:asciiTheme="minorHAnsi" w:hAnsiTheme="minorHAnsi" w:cstheme="minorHAnsi"/>
        </w:rPr>
        <w:t xml:space="preserve">. 52: 5-136.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Alonso, R., Caballero, M.J., Orejas, P., Sáez, T. &amp; Yánez, J. 1999. Mortalidad de rapaces nocturnas en la Comunidad de Madrid. Una aproximación a partir de los ingresos en un centro de recuperación. Anuario Ornitológico de Madrid 1999: 78-89.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Álvarez, J., Bea, A., Faus, J.M., Castién, E. &amp; Mendiola, I. (Eds.). 1985. Atlas de los Vertebrados Continentales de Álava, Vizcaya y Guipúzcoa. Departamento de Política Territorial y Transportes. Gobierno Vasco. 336 pp.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Andersen, L.H., </w:t>
      </w:r>
      <w:proofErr w:type="spellStart"/>
      <w:r w:rsidRPr="009A39D6">
        <w:rPr>
          <w:rFonts w:asciiTheme="minorHAnsi" w:hAnsiTheme="minorHAnsi" w:cstheme="minorHAnsi"/>
        </w:rPr>
        <w:t>Sunde</w:t>
      </w:r>
      <w:proofErr w:type="spellEnd"/>
      <w:r w:rsidRPr="009A39D6">
        <w:rPr>
          <w:rFonts w:asciiTheme="minorHAnsi" w:hAnsiTheme="minorHAnsi" w:cstheme="minorHAnsi"/>
        </w:rPr>
        <w:t xml:space="preserve">, P., </w:t>
      </w:r>
      <w:proofErr w:type="spellStart"/>
      <w:r w:rsidRPr="009A39D6">
        <w:rPr>
          <w:rFonts w:asciiTheme="minorHAnsi" w:hAnsiTheme="minorHAnsi" w:cstheme="minorHAnsi"/>
        </w:rPr>
        <w:t>Pellegrino</w:t>
      </w:r>
      <w:proofErr w:type="spellEnd"/>
      <w:r w:rsidRPr="009A39D6">
        <w:rPr>
          <w:rFonts w:asciiTheme="minorHAnsi" w:hAnsiTheme="minorHAnsi" w:cstheme="minorHAnsi"/>
        </w:rPr>
        <w:t xml:space="preserve">, I., </w:t>
      </w:r>
      <w:proofErr w:type="spellStart"/>
      <w:r w:rsidRPr="009A39D6">
        <w:rPr>
          <w:rFonts w:asciiTheme="minorHAnsi" w:hAnsiTheme="minorHAnsi" w:cstheme="minorHAnsi"/>
        </w:rPr>
        <w:t>Loeschcke</w:t>
      </w:r>
      <w:proofErr w:type="spellEnd"/>
      <w:r w:rsidRPr="009A39D6">
        <w:rPr>
          <w:rFonts w:asciiTheme="minorHAnsi" w:hAnsiTheme="minorHAnsi" w:cstheme="minorHAnsi"/>
        </w:rPr>
        <w:t xml:space="preserve">, V. &amp; </w:t>
      </w:r>
      <w:proofErr w:type="spellStart"/>
      <w:r w:rsidRPr="009A39D6">
        <w:rPr>
          <w:rFonts w:asciiTheme="minorHAnsi" w:hAnsiTheme="minorHAnsi" w:cstheme="minorHAnsi"/>
        </w:rPr>
        <w:t>Pertoldi</w:t>
      </w:r>
      <w:proofErr w:type="spellEnd"/>
      <w:r w:rsidRPr="009A39D6">
        <w:rPr>
          <w:rFonts w:asciiTheme="minorHAnsi" w:hAnsiTheme="minorHAnsi" w:cstheme="minorHAnsi"/>
        </w:rPr>
        <w:t xml:space="preserve">, C. 2017. </w:t>
      </w:r>
      <w:proofErr w:type="spellStart"/>
      <w:r w:rsidRPr="009A39D6">
        <w:rPr>
          <w:rFonts w:asciiTheme="minorHAnsi" w:hAnsiTheme="minorHAnsi" w:cstheme="minorHAnsi"/>
        </w:rPr>
        <w:t>Using</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population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viability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analysis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genomics</w:t>
      </w:r>
      <w:proofErr w:type="spellEnd"/>
      <w:r w:rsidRPr="009A39D6">
        <w:rPr>
          <w:rFonts w:asciiTheme="minorHAnsi" w:hAnsiTheme="minorHAnsi" w:cstheme="minorHAnsi"/>
        </w:rPr>
        <w:t xml:space="preserve">, and hábitat </w:t>
      </w:r>
      <w:proofErr w:type="spellStart"/>
      <w:r w:rsidRPr="009A39D6">
        <w:rPr>
          <w:rFonts w:asciiTheme="minorHAnsi" w:hAnsiTheme="minorHAnsi" w:cstheme="minorHAnsi"/>
        </w:rPr>
        <w:t>suitability</w:t>
      </w:r>
      <w:proofErr w:type="spellEnd"/>
      <w:r w:rsidRPr="009A39D6">
        <w:rPr>
          <w:rFonts w:asciiTheme="minorHAnsi" w:hAnsiTheme="minorHAnsi" w:cstheme="minorHAnsi"/>
        </w:rPr>
        <w:t xml:space="preserve"> to </w:t>
      </w:r>
      <w:proofErr w:type="spellStart"/>
      <w:r w:rsidRPr="009A39D6">
        <w:rPr>
          <w:rFonts w:asciiTheme="minorHAnsi" w:hAnsiTheme="minorHAnsi" w:cstheme="minorHAnsi"/>
        </w:rPr>
        <w:t>forecast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future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population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patterns</w:t>
      </w:r>
      <w:proofErr w:type="spellEnd"/>
      <w:r w:rsidRPr="009A39D6">
        <w:rPr>
          <w:rFonts w:asciiTheme="minorHAnsi" w:hAnsiTheme="minorHAnsi" w:cstheme="minorHAnsi"/>
        </w:rPr>
        <w:t xml:space="preserve"> of Little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across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Europe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Ecology</w:t>
      </w:r>
      <w:proofErr w:type="spellEnd"/>
      <w:r w:rsidRPr="009A39D6">
        <w:rPr>
          <w:rFonts w:asciiTheme="minorHAnsi" w:hAnsiTheme="minorHAnsi" w:cstheme="minorHAnsi"/>
        </w:rPr>
        <w:t xml:space="preserve"> &amp; </w:t>
      </w:r>
      <w:proofErr w:type="spellStart"/>
      <w:r w:rsidRPr="009A39D6">
        <w:rPr>
          <w:rFonts w:asciiTheme="minorHAnsi" w:hAnsiTheme="minorHAnsi" w:cstheme="minorHAnsi"/>
        </w:rPr>
        <w:t>Evolution</w:t>
      </w:r>
      <w:proofErr w:type="spellEnd"/>
      <w:r w:rsidRPr="009A39D6">
        <w:rPr>
          <w:rFonts w:asciiTheme="minorHAnsi" w:hAnsiTheme="minorHAnsi" w:cstheme="minorHAnsi"/>
        </w:rPr>
        <w:t xml:space="preserve">, 7: 10987-11001.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Apolloni</w:t>
      </w:r>
      <w:proofErr w:type="spellEnd"/>
      <w:r w:rsidRPr="009A39D6">
        <w:rPr>
          <w:rFonts w:asciiTheme="minorHAnsi" w:hAnsiTheme="minorHAnsi" w:cstheme="minorHAnsi"/>
        </w:rPr>
        <w:t xml:space="preserve">, N., </w:t>
      </w:r>
      <w:proofErr w:type="spellStart"/>
      <w:r w:rsidRPr="009A39D6">
        <w:rPr>
          <w:rFonts w:asciiTheme="minorHAnsi" w:hAnsiTheme="minorHAnsi" w:cstheme="minorHAnsi"/>
        </w:rPr>
        <w:t>Grüebler</w:t>
      </w:r>
      <w:proofErr w:type="spellEnd"/>
      <w:r w:rsidRPr="009A39D6">
        <w:rPr>
          <w:rFonts w:asciiTheme="minorHAnsi" w:hAnsiTheme="minorHAnsi" w:cstheme="minorHAnsi"/>
        </w:rPr>
        <w:t xml:space="preserve">, M.U., </w:t>
      </w:r>
      <w:proofErr w:type="spellStart"/>
      <w:r w:rsidRPr="009A39D6">
        <w:rPr>
          <w:rFonts w:asciiTheme="minorHAnsi" w:hAnsiTheme="minorHAnsi" w:cstheme="minorHAnsi"/>
        </w:rPr>
        <w:t>Arlettaz</w:t>
      </w:r>
      <w:proofErr w:type="spellEnd"/>
      <w:r w:rsidRPr="009A39D6">
        <w:rPr>
          <w:rFonts w:asciiTheme="minorHAnsi" w:hAnsiTheme="minorHAnsi" w:cstheme="minorHAnsi"/>
        </w:rPr>
        <w:t xml:space="preserve">, R., </w:t>
      </w:r>
      <w:proofErr w:type="spellStart"/>
      <w:r w:rsidRPr="009A39D6">
        <w:rPr>
          <w:rFonts w:asciiTheme="minorHAnsi" w:hAnsiTheme="minorHAnsi" w:cstheme="minorHAnsi"/>
        </w:rPr>
        <w:t>Gottschalk</w:t>
      </w:r>
      <w:proofErr w:type="spellEnd"/>
      <w:r w:rsidRPr="009A39D6">
        <w:rPr>
          <w:rFonts w:asciiTheme="minorHAnsi" w:hAnsiTheme="minorHAnsi" w:cstheme="minorHAnsi"/>
        </w:rPr>
        <w:t xml:space="preserve">, T.K. &amp; </w:t>
      </w:r>
      <w:proofErr w:type="spellStart"/>
      <w:r w:rsidRPr="009A39D6">
        <w:rPr>
          <w:rFonts w:asciiTheme="minorHAnsi" w:hAnsiTheme="minorHAnsi" w:cstheme="minorHAnsi"/>
        </w:rPr>
        <w:t>Naef-Daencer</w:t>
      </w:r>
      <w:proofErr w:type="spellEnd"/>
      <w:r w:rsidRPr="009A39D6">
        <w:rPr>
          <w:rFonts w:asciiTheme="minorHAnsi" w:hAnsiTheme="minorHAnsi" w:cstheme="minorHAnsi"/>
        </w:rPr>
        <w:t xml:space="preserve">, B. 2018. </w:t>
      </w:r>
      <w:proofErr w:type="spellStart"/>
      <w:r w:rsidRPr="009A39D6">
        <w:rPr>
          <w:rFonts w:asciiTheme="minorHAnsi" w:hAnsiTheme="minorHAnsi" w:cstheme="minorHAnsi"/>
        </w:rPr>
        <w:t>Habitat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selection</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range</w:t>
      </w:r>
      <w:proofErr w:type="spellEnd"/>
      <w:r w:rsidRPr="009A39D6">
        <w:rPr>
          <w:rFonts w:asciiTheme="minorHAnsi" w:hAnsiTheme="minorHAnsi" w:cstheme="minorHAnsi"/>
        </w:rPr>
        <w:t xml:space="preserve"> use of </w:t>
      </w:r>
      <w:proofErr w:type="spellStart"/>
      <w:r w:rsidRPr="009A39D6">
        <w:rPr>
          <w:rFonts w:asciiTheme="minorHAnsi" w:hAnsiTheme="minorHAnsi" w:cstheme="minorHAnsi"/>
        </w:rPr>
        <w:t>little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relation</w:t>
      </w:r>
      <w:proofErr w:type="spellEnd"/>
      <w:r w:rsidRPr="009A39D6">
        <w:rPr>
          <w:rFonts w:asciiTheme="minorHAnsi" w:hAnsiTheme="minorHAnsi" w:cstheme="minorHAnsi"/>
        </w:rPr>
        <w:t xml:space="preserve"> to </w:t>
      </w:r>
      <w:proofErr w:type="spellStart"/>
      <w:r w:rsidRPr="009A39D6">
        <w:rPr>
          <w:rFonts w:asciiTheme="minorHAnsi" w:hAnsiTheme="minorHAnsi" w:cstheme="minorHAnsi"/>
        </w:rPr>
        <w:t>habitat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patterns</w:t>
      </w:r>
      <w:proofErr w:type="spellEnd"/>
      <w:r w:rsidRPr="009A39D6">
        <w:rPr>
          <w:rFonts w:asciiTheme="minorHAnsi" w:hAnsiTheme="minorHAnsi" w:cstheme="minorHAnsi"/>
        </w:rPr>
        <w:t xml:space="preserve"> at </w:t>
      </w:r>
      <w:proofErr w:type="spellStart"/>
      <w:r w:rsidRPr="009A39D6">
        <w:rPr>
          <w:rFonts w:asciiTheme="minorHAnsi" w:hAnsiTheme="minorHAnsi" w:cstheme="minorHAnsi"/>
        </w:rPr>
        <w:t>three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spatial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scales</w:t>
      </w:r>
      <w:proofErr w:type="spellEnd"/>
      <w:r w:rsidRPr="009A39D6">
        <w:rPr>
          <w:rFonts w:asciiTheme="minorHAnsi" w:hAnsiTheme="minorHAnsi" w:cstheme="minorHAnsi"/>
        </w:rPr>
        <w:t xml:space="preserve">. Animal </w:t>
      </w:r>
      <w:proofErr w:type="spellStart"/>
      <w:r w:rsidRPr="009A39D6">
        <w:rPr>
          <w:rFonts w:asciiTheme="minorHAnsi" w:hAnsiTheme="minorHAnsi" w:cstheme="minorHAnsi"/>
        </w:rPr>
        <w:t>Conservation</w:t>
      </w:r>
      <w:proofErr w:type="spellEnd"/>
      <w:r w:rsidRPr="009A39D6">
        <w:rPr>
          <w:rFonts w:asciiTheme="minorHAnsi" w:hAnsiTheme="minorHAnsi" w:cstheme="minorHAnsi"/>
        </w:rPr>
        <w:t xml:space="preserve">, 21: 65-75.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Berrio, A. &amp; </w:t>
      </w:r>
      <w:proofErr w:type="spellStart"/>
      <w:r w:rsidRPr="009A39D6">
        <w:rPr>
          <w:rFonts w:asciiTheme="minorHAnsi" w:hAnsiTheme="minorHAnsi" w:cstheme="minorHAnsi"/>
        </w:rPr>
        <w:t>Escandell</w:t>
      </w:r>
      <w:proofErr w:type="spellEnd"/>
      <w:r w:rsidRPr="009A39D6">
        <w:rPr>
          <w:rFonts w:asciiTheme="minorHAnsi" w:hAnsiTheme="minorHAnsi" w:cstheme="minorHAnsi"/>
        </w:rPr>
        <w:t xml:space="preserve">, V. 2017. </w:t>
      </w:r>
      <w:proofErr w:type="spellStart"/>
      <w:r w:rsidRPr="009A39D6">
        <w:rPr>
          <w:rFonts w:asciiTheme="minorHAnsi" w:hAnsiTheme="minorHAnsi" w:cstheme="minorHAnsi"/>
        </w:rPr>
        <w:t>Noctua</w:t>
      </w:r>
      <w:proofErr w:type="spellEnd"/>
      <w:r w:rsidRPr="009A39D6">
        <w:rPr>
          <w:rFonts w:asciiTheme="minorHAnsi" w:hAnsiTheme="minorHAnsi" w:cstheme="minorHAnsi"/>
        </w:rPr>
        <w:t xml:space="preserve">. Tendencia de las aves nocturnas. </w:t>
      </w:r>
      <w:proofErr w:type="spellStart"/>
      <w:r w:rsidRPr="009A39D6">
        <w:rPr>
          <w:rFonts w:asciiTheme="minorHAnsi" w:hAnsiTheme="minorHAnsi" w:cstheme="minorHAnsi"/>
        </w:rPr>
        <w:t>Seo/BirdLife</w:t>
      </w:r>
      <w:proofErr w:type="spellEnd"/>
      <w:r w:rsidRPr="009A39D6">
        <w:rPr>
          <w:rFonts w:asciiTheme="minorHAnsi" w:hAnsiTheme="minorHAnsi" w:cstheme="minorHAnsi"/>
        </w:rPr>
        <w:t xml:space="preserve"> (Ed). Programas de seguimiento de avifauna y grupos de trabajo. </w:t>
      </w:r>
      <w:proofErr w:type="spellStart"/>
      <w:r w:rsidRPr="009A39D6">
        <w:rPr>
          <w:rFonts w:asciiTheme="minorHAnsi" w:hAnsiTheme="minorHAnsi" w:cstheme="minorHAnsi"/>
        </w:rPr>
        <w:t>Pp</w:t>
      </w:r>
      <w:proofErr w:type="spellEnd"/>
      <w:r w:rsidRPr="009A39D6">
        <w:rPr>
          <w:rFonts w:asciiTheme="minorHAnsi" w:hAnsiTheme="minorHAnsi" w:cstheme="minorHAnsi"/>
        </w:rPr>
        <w:t xml:space="preserve"> 14-17. Seo/</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Madrid.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2018.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IUCN Red </w:t>
      </w:r>
      <w:proofErr w:type="spellStart"/>
      <w:r w:rsidRPr="009A39D6">
        <w:rPr>
          <w:rFonts w:asciiTheme="minorHAnsi" w:hAnsiTheme="minorHAnsi" w:cstheme="minorHAnsi"/>
        </w:rPr>
        <w:t>List</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Threatened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Species</w:t>
      </w:r>
      <w:proofErr w:type="spellEnd"/>
      <w:r w:rsidRPr="009A39D6">
        <w:rPr>
          <w:rFonts w:asciiTheme="minorHAnsi" w:hAnsiTheme="minorHAnsi" w:cstheme="minorHAnsi"/>
        </w:rPr>
        <w:t xml:space="preserve"> 2018: </w:t>
      </w:r>
      <w:proofErr w:type="gramStart"/>
      <w:r w:rsidRPr="009A39D6">
        <w:rPr>
          <w:rFonts w:asciiTheme="minorHAnsi" w:hAnsiTheme="minorHAnsi" w:cstheme="minorHAnsi"/>
        </w:rPr>
        <w:t>e.T</w:t>
      </w:r>
      <w:proofErr w:type="gramEnd"/>
      <w:r w:rsidRPr="009A39D6">
        <w:rPr>
          <w:rFonts w:asciiTheme="minorHAnsi" w:hAnsiTheme="minorHAnsi" w:cstheme="minorHAnsi"/>
        </w:rPr>
        <w:t xml:space="preserve">22689328A131921924. http://dx.doi.org/10.2305/IUCN.UK.2018-2.RLTS.T22689328A131921924.en. </w:t>
      </w:r>
      <w:proofErr w:type="spellStart"/>
      <w:r w:rsidRPr="009A39D6">
        <w:rPr>
          <w:rFonts w:asciiTheme="minorHAnsi" w:hAnsiTheme="minorHAnsi" w:cstheme="minorHAnsi"/>
        </w:rPr>
        <w:t>Downloaded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on</w:t>
      </w:r>
      <w:proofErr w:type="spellEnd"/>
      <w:r w:rsidRPr="009A39D6">
        <w:rPr>
          <w:rFonts w:asciiTheme="minorHAnsi" w:hAnsiTheme="minorHAnsi" w:cstheme="minorHAnsi"/>
        </w:rPr>
        <w:t xml:space="preserve"> 29 </w:t>
      </w:r>
      <w:proofErr w:type="spellStart"/>
      <w:r w:rsidRPr="009A39D6">
        <w:rPr>
          <w:rFonts w:asciiTheme="minorHAnsi" w:hAnsiTheme="minorHAnsi" w:cstheme="minorHAnsi"/>
        </w:rPr>
        <w:t>January</w:t>
      </w:r>
      <w:proofErr w:type="spellEnd"/>
      <w:r w:rsidRPr="009A39D6">
        <w:rPr>
          <w:rFonts w:asciiTheme="minorHAnsi" w:hAnsiTheme="minorHAnsi" w:cstheme="minorHAnsi"/>
        </w:rPr>
        <w:t xml:space="preserve"> 2019.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2004. </w:t>
      </w:r>
      <w:proofErr w:type="spellStart"/>
      <w:r w:rsidRPr="009A39D6">
        <w:rPr>
          <w:rFonts w:asciiTheme="minorHAnsi" w:hAnsiTheme="minorHAnsi" w:cstheme="minorHAnsi"/>
        </w:rPr>
        <w:t>Birds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Europe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population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estimates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trends</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conservation</w:t>
      </w:r>
      <w:proofErr w:type="spellEnd"/>
      <w:r w:rsidRPr="009A39D6">
        <w:rPr>
          <w:rFonts w:asciiTheme="minorHAnsi" w:hAnsiTheme="minorHAnsi" w:cstheme="minorHAnsi"/>
        </w:rPr>
        <w:t xml:space="preserve"> status.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Cambridge, U.K.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2015. </w:t>
      </w:r>
      <w:proofErr w:type="spellStart"/>
      <w:r w:rsidRPr="009A39D6">
        <w:rPr>
          <w:rFonts w:asciiTheme="minorHAnsi" w:hAnsiTheme="minorHAnsi" w:cstheme="minorHAnsi"/>
        </w:rPr>
        <w:t>European</w:t>
      </w:r>
      <w:proofErr w:type="spellEnd"/>
      <w:r w:rsidRPr="009A39D6">
        <w:rPr>
          <w:rFonts w:asciiTheme="minorHAnsi" w:hAnsiTheme="minorHAnsi" w:cstheme="minorHAnsi"/>
        </w:rPr>
        <w:t xml:space="preserve"> Red </w:t>
      </w:r>
      <w:proofErr w:type="spellStart"/>
      <w:r w:rsidRPr="009A39D6">
        <w:rPr>
          <w:rFonts w:asciiTheme="minorHAnsi" w:hAnsiTheme="minorHAnsi" w:cstheme="minorHAnsi"/>
        </w:rPr>
        <w:t>List</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Birds</w:t>
      </w:r>
      <w:proofErr w:type="spellEnd"/>
      <w:r w:rsidRPr="009A39D6">
        <w:rPr>
          <w:rFonts w:asciiTheme="minorHAnsi" w:hAnsiTheme="minorHAnsi" w:cstheme="minorHAnsi"/>
        </w:rPr>
        <w:t xml:space="preserve">. Office </w:t>
      </w:r>
      <w:proofErr w:type="spellStart"/>
      <w:r w:rsidRPr="009A39D6">
        <w:rPr>
          <w:rFonts w:asciiTheme="minorHAnsi" w:hAnsiTheme="minorHAnsi" w:cstheme="minorHAnsi"/>
        </w:rPr>
        <w:t>for</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Official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Publications</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European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Communities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Luxembourg</w:t>
      </w:r>
      <w:proofErr w:type="spellEnd"/>
      <w:r w:rsidRPr="009A39D6">
        <w:rPr>
          <w:rFonts w:asciiTheme="minorHAnsi" w:hAnsiTheme="minorHAnsi" w:cstheme="minorHAnsi"/>
        </w:rPr>
        <w:t xml:space="preserve">.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Blas García, J. &amp; Muñoz Gallego, A. R. 2003. Mochuelo Europeo. En R. Martí &amp; J.C. del Moral (</w:t>
      </w:r>
      <w:proofErr w:type="spellStart"/>
      <w:r w:rsidRPr="009A39D6">
        <w:rPr>
          <w:rFonts w:asciiTheme="minorHAnsi" w:hAnsiTheme="minorHAnsi" w:cstheme="minorHAnsi"/>
        </w:rPr>
        <w:t>Eds</w:t>
      </w:r>
      <w:proofErr w:type="spellEnd"/>
      <w:r w:rsidRPr="009A39D6">
        <w:rPr>
          <w:rFonts w:asciiTheme="minorHAnsi" w:hAnsiTheme="minorHAnsi" w:cstheme="minorHAnsi"/>
        </w:rPr>
        <w:t xml:space="preserve">). Atlas de las aves reproductoras de España. </w:t>
      </w:r>
      <w:proofErr w:type="spellStart"/>
      <w:r w:rsidRPr="009A39D6">
        <w:rPr>
          <w:rFonts w:asciiTheme="minorHAnsi" w:hAnsiTheme="minorHAnsi" w:cstheme="minorHAnsi"/>
        </w:rPr>
        <w:t>pp</w:t>
      </w:r>
      <w:proofErr w:type="spellEnd"/>
      <w:r w:rsidRPr="009A39D6">
        <w:rPr>
          <w:rFonts w:asciiTheme="minorHAnsi" w:hAnsiTheme="minorHAnsi" w:cstheme="minorHAnsi"/>
        </w:rPr>
        <w:t xml:space="preserve"> 318-319. Dirección General de la Conservación de la Naturaleza-Sociedad Española de Ornitología. Madrid.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Burfield</w:t>
      </w:r>
      <w:proofErr w:type="spellEnd"/>
      <w:r w:rsidRPr="009A39D6">
        <w:rPr>
          <w:rFonts w:asciiTheme="minorHAnsi" w:hAnsiTheme="minorHAnsi" w:cstheme="minorHAnsi"/>
        </w:rPr>
        <w:t xml:space="preserve">, I.J. 2008.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conservation</w:t>
      </w:r>
      <w:proofErr w:type="spellEnd"/>
      <w:r w:rsidRPr="009A39D6">
        <w:rPr>
          <w:rFonts w:asciiTheme="minorHAnsi" w:hAnsiTheme="minorHAnsi" w:cstheme="minorHAnsi"/>
        </w:rPr>
        <w:t xml:space="preserve"> status and </w:t>
      </w:r>
      <w:proofErr w:type="spellStart"/>
      <w:r w:rsidRPr="009A39D6">
        <w:rPr>
          <w:rFonts w:asciiTheme="minorHAnsi" w:hAnsiTheme="minorHAnsi" w:cstheme="minorHAnsi"/>
        </w:rPr>
        <w:t>trends</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raptors</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Europe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Ambio</w:t>
      </w:r>
      <w:proofErr w:type="spellEnd"/>
      <w:r w:rsidRPr="009A39D6">
        <w:rPr>
          <w:rFonts w:asciiTheme="minorHAnsi" w:hAnsiTheme="minorHAnsi" w:cstheme="minorHAnsi"/>
        </w:rPr>
        <w:t xml:space="preserve">, 37(6): 401-407. </w:t>
      </w:r>
    </w:p>
    <w:p w:rsidR="00FB0B92" w:rsidRPr="009A39D6" w:rsidRDefault="0059073A" w:rsidP="009A39D6">
      <w:pPr>
        <w:spacing w:before="120" w:after="120" w:line="300" w:lineRule="atLeast"/>
        <w:ind w:left="283" w:right="267" w:hanging="283"/>
        <w:jc w:val="left"/>
        <w:rPr>
          <w:rFonts w:asciiTheme="minorHAnsi" w:hAnsiTheme="minorHAnsi" w:cstheme="minorHAnsi"/>
        </w:rPr>
      </w:pPr>
      <w:proofErr w:type="spellStart"/>
      <w:r w:rsidRPr="009A39D6">
        <w:rPr>
          <w:rFonts w:asciiTheme="minorHAnsi" w:hAnsiTheme="minorHAnsi" w:cstheme="minorHAnsi"/>
        </w:rPr>
        <w:t>Chrenková</w:t>
      </w:r>
      <w:proofErr w:type="spellEnd"/>
      <w:r w:rsidRPr="009A39D6">
        <w:rPr>
          <w:rFonts w:asciiTheme="minorHAnsi" w:hAnsiTheme="minorHAnsi" w:cstheme="minorHAnsi"/>
        </w:rPr>
        <w:t xml:space="preserve">, M., </w:t>
      </w:r>
      <w:proofErr w:type="spellStart"/>
      <w:r w:rsidRPr="009A39D6">
        <w:rPr>
          <w:rFonts w:asciiTheme="minorHAnsi" w:hAnsiTheme="minorHAnsi" w:cstheme="minorHAnsi"/>
        </w:rPr>
        <w:t>Dobrý</w:t>
      </w:r>
      <w:proofErr w:type="spellEnd"/>
      <w:r w:rsidRPr="009A39D6">
        <w:rPr>
          <w:rFonts w:asciiTheme="minorHAnsi" w:hAnsiTheme="minorHAnsi" w:cstheme="minorHAnsi"/>
        </w:rPr>
        <w:t xml:space="preserve">, M. &amp; </w:t>
      </w:r>
      <w:proofErr w:type="spellStart"/>
      <w:r w:rsidRPr="009A39D6">
        <w:rPr>
          <w:rFonts w:asciiTheme="minorHAnsi" w:hAnsiTheme="minorHAnsi" w:cstheme="minorHAnsi"/>
        </w:rPr>
        <w:t>Sálek</w:t>
      </w:r>
      <w:proofErr w:type="spellEnd"/>
      <w:r w:rsidRPr="009A39D6">
        <w:rPr>
          <w:rFonts w:asciiTheme="minorHAnsi" w:hAnsiTheme="minorHAnsi" w:cstheme="minorHAnsi"/>
        </w:rPr>
        <w:t xml:space="preserve">, M. 2017. </w:t>
      </w:r>
      <w:proofErr w:type="spellStart"/>
      <w:r w:rsidRPr="009A39D6">
        <w:rPr>
          <w:rFonts w:asciiTheme="minorHAnsi" w:hAnsiTheme="minorHAnsi" w:cstheme="minorHAnsi"/>
        </w:rPr>
        <w:t>Further</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evidence</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large-scale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population</w:t>
      </w:r>
      <w:proofErr w:type="spellEnd"/>
      <w:r w:rsidRPr="009A39D6">
        <w:rPr>
          <w:rFonts w:asciiTheme="minorHAnsi" w:hAnsiTheme="minorHAnsi" w:cstheme="minorHAnsi"/>
        </w:rPr>
        <w:t xml:space="preserve"> decline and </w:t>
      </w:r>
      <w:proofErr w:type="spellStart"/>
      <w:r w:rsidRPr="009A39D6">
        <w:rPr>
          <w:rFonts w:asciiTheme="minorHAnsi" w:hAnsiTheme="minorHAnsi" w:cstheme="minorHAnsi"/>
        </w:rPr>
        <w:t>range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contraction</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little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Athene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noctua</w:t>
      </w:r>
      <w:proofErr w:type="spellEnd"/>
      <w:r w:rsidRPr="009A39D6">
        <w:rPr>
          <w:rFonts w:asciiTheme="minorHAnsi" w:hAnsiTheme="minorHAnsi" w:cstheme="minorHAnsi"/>
        </w:rPr>
        <w:t xml:space="preserve"> in Central </w:t>
      </w:r>
      <w:proofErr w:type="spellStart"/>
      <w:r w:rsidRPr="009A39D6">
        <w:rPr>
          <w:rFonts w:asciiTheme="minorHAnsi" w:hAnsiTheme="minorHAnsi" w:cstheme="minorHAnsi"/>
        </w:rPr>
        <w:t>Europe</w:t>
      </w:r>
      <w:proofErr w:type="spellEnd"/>
      <w:r w:rsidRPr="009A39D6">
        <w:rPr>
          <w:rFonts w:asciiTheme="minorHAnsi" w:hAnsiTheme="minorHAnsi" w:cstheme="minorHAnsi"/>
        </w:rPr>
        <w:t xml:space="preserve">. Folia </w:t>
      </w:r>
      <w:proofErr w:type="spellStart"/>
      <w:r w:rsidRPr="009A39D6">
        <w:rPr>
          <w:rFonts w:asciiTheme="minorHAnsi" w:hAnsiTheme="minorHAnsi" w:cstheme="minorHAnsi"/>
        </w:rPr>
        <w:t>Zool</w:t>
      </w:r>
      <w:proofErr w:type="spellEnd"/>
      <w:r w:rsidRPr="009A39D6">
        <w:rPr>
          <w:rFonts w:asciiTheme="minorHAnsi" w:hAnsiTheme="minorHAnsi" w:cstheme="minorHAnsi"/>
        </w:rPr>
        <w:t xml:space="preserve">., 66: 106-116.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Escandell</w:t>
      </w:r>
      <w:proofErr w:type="spellEnd"/>
      <w:r w:rsidRPr="009A39D6">
        <w:rPr>
          <w:rFonts w:asciiTheme="minorHAnsi" w:hAnsiTheme="minorHAnsi" w:cstheme="minorHAnsi"/>
        </w:rPr>
        <w:t>, V. 2012. Mochuelo europeo. En SEO/</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Atlas de las aves en invierno en España 2007-2010. </w:t>
      </w:r>
      <w:proofErr w:type="spellStart"/>
      <w:r w:rsidRPr="009A39D6">
        <w:rPr>
          <w:rFonts w:asciiTheme="minorHAnsi" w:hAnsiTheme="minorHAnsi" w:cstheme="minorHAnsi"/>
        </w:rPr>
        <w:t>Pp</w:t>
      </w:r>
      <w:proofErr w:type="spellEnd"/>
      <w:r w:rsidRPr="009A39D6">
        <w:rPr>
          <w:rFonts w:asciiTheme="minorHAnsi" w:hAnsiTheme="minorHAnsi" w:cstheme="minorHAnsi"/>
        </w:rPr>
        <w:t xml:space="preserve"> 334-335. Ministerio de Agricultura, Alimentación y Medio Ambiente-SEO/</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Madrid.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Fajardo, I., </w:t>
      </w:r>
      <w:proofErr w:type="spellStart"/>
      <w:r w:rsidRPr="009A39D6">
        <w:rPr>
          <w:rFonts w:asciiTheme="minorHAnsi" w:hAnsiTheme="minorHAnsi" w:cstheme="minorHAnsi"/>
        </w:rPr>
        <w:t>Pividal</w:t>
      </w:r>
      <w:proofErr w:type="spellEnd"/>
      <w:r w:rsidRPr="009A39D6">
        <w:rPr>
          <w:rFonts w:asciiTheme="minorHAnsi" w:hAnsiTheme="minorHAnsi" w:cstheme="minorHAnsi"/>
        </w:rPr>
        <w:t xml:space="preserve">, V., Trigo, M. &amp; Jiménez, M. 1998. </w:t>
      </w:r>
      <w:proofErr w:type="spellStart"/>
      <w:r w:rsidRPr="009A39D6">
        <w:rPr>
          <w:rFonts w:asciiTheme="minorHAnsi" w:hAnsiTheme="minorHAnsi" w:cstheme="minorHAnsi"/>
        </w:rPr>
        <w:t>Habitat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selection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activity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peaks</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strategies</w:t>
      </w:r>
      <w:proofErr w:type="spellEnd"/>
      <w:r w:rsidRPr="009A39D6">
        <w:rPr>
          <w:rFonts w:asciiTheme="minorHAnsi" w:hAnsiTheme="minorHAnsi" w:cstheme="minorHAnsi"/>
        </w:rPr>
        <w:t xml:space="preserve"> to </w:t>
      </w:r>
      <w:proofErr w:type="spellStart"/>
      <w:r w:rsidRPr="009A39D6">
        <w:rPr>
          <w:rFonts w:asciiTheme="minorHAnsi" w:hAnsiTheme="minorHAnsi" w:cstheme="minorHAnsi"/>
        </w:rPr>
        <w:t>avoid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road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mortality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by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Little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A new </w:t>
      </w:r>
      <w:proofErr w:type="spellStart"/>
      <w:r w:rsidRPr="009A39D6">
        <w:rPr>
          <w:rFonts w:asciiTheme="minorHAnsi" w:hAnsiTheme="minorHAnsi" w:cstheme="minorHAnsi"/>
        </w:rPr>
        <w:t>methodology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research</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Alauda</w:t>
      </w:r>
      <w:proofErr w:type="spellEnd"/>
      <w:r w:rsidRPr="009A39D6">
        <w:rPr>
          <w:rFonts w:asciiTheme="minorHAnsi" w:hAnsiTheme="minorHAnsi" w:cstheme="minorHAnsi"/>
        </w:rPr>
        <w:t xml:space="preserve">, 66: 49-60.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Fattebert</w:t>
      </w:r>
      <w:proofErr w:type="spellEnd"/>
      <w:r w:rsidRPr="009A39D6">
        <w:rPr>
          <w:rFonts w:asciiTheme="minorHAnsi" w:hAnsiTheme="minorHAnsi" w:cstheme="minorHAnsi"/>
        </w:rPr>
        <w:t xml:space="preserve">, J., Michel, V., </w:t>
      </w:r>
      <w:proofErr w:type="spellStart"/>
      <w:r w:rsidRPr="009A39D6">
        <w:rPr>
          <w:rFonts w:asciiTheme="minorHAnsi" w:hAnsiTheme="minorHAnsi" w:cstheme="minorHAnsi"/>
        </w:rPr>
        <w:t>Scherler</w:t>
      </w:r>
      <w:proofErr w:type="spellEnd"/>
      <w:r w:rsidRPr="009A39D6">
        <w:rPr>
          <w:rFonts w:asciiTheme="minorHAnsi" w:hAnsiTheme="minorHAnsi" w:cstheme="minorHAnsi"/>
        </w:rPr>
        <w:t xml:space="preserve">, P., </w:t>
      </w:r>
      <w:proofErr w:type="spellStart"/>
      <w:r w:rsidRPr="009A39D6">
        <w:rPr>
          <w:rFonts w:asciiTheme="minorHAnsi" w:hAnsiTheme="minorHAnsi" w:cstheme="minorHAnsi"/>
        </w:rPr>
        <w:t>Naef-Daenzer</w:t>
      </w:r>
      <w:proofErr w:type="spellEnd"/>
      <w:r w:rsidRPr="009A39D6">
        <w:rPr>
          <w:rFonts w:asciiTheme="minorHAnsi" w:hAnsiTheme="minorHAnsi" w:cstheme="minorHAnsi"/>
        </w:rPr>
        <w:t xml:space="preserve">, B., </w:t>
      </w:r>
      <w:proofErr w:type="spellStart"/>
      <w:r w:rsidRPr="009A39D6">
        <w:rPr>
          <w:rFonts w:asciiTheme="minorHAnsi" w:hAnsiTheme="minorHAnsi" w:cstheme="minorHAnsi"/>
        </w:rPr>
        <w:t>Milanesi</w:t>
      </w:r>
      <w:proofErr w:type="spellEnd"/>
      <w:r w:rsidRPr="009A39D6">
        <w:rPr>
          <w:rFonts w:asciiTheme="minorHAnsi" w:hAnsiTheme="minorHAnsi" w:cstheme="minorHAnsi"/>
        </w:rPr>
        <w:t xml:space="preserve">, P. &amp; </w:t>
      </w:r>
      <w:proofErr w:type="spellStart"/>
      <w:r w:rsidRPr="009A39D6">
        <w:rPr>
          <w:rFonts w:asciiTheme="minorHAnsi" w:hAnsiTheme="minorHAnsi" w:cstheme="minorHAnsi"/>
        </w:rPr>
        <w:t>Grüebler</w:t>
      </w:r>
      <w:proofErr w:type="spellEnd"/>
      <w:r w:rsidRPr="009A39D6">
        <w:rPr>
          <w:rFonts w:asciiTheme="minorHAnsi" w:hAnsiTheme="minorHAnsi" w:cstheme="minorHAnsi"/>
        </w:rPr>
        <w:t xml:space="preserve">, M.U. 2018. Little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big</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landscapes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Informing</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conservation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using</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multi-level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resource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selection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functions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Biological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Conservation</w:t>
      </w:r>
      <w:proofErr w:type="spellEnd"/>
      <w:r w:rsidRPr="009A39D6">
        <w:rPr>
          <w:rFonts w:asciiTheme="minorHAnsi" w:hAnsiTheme="minorHAnsi" w:cstheme="minorHAnsi"/>
        </w:rPr>
        <w:t xml:space="preserve">, 228: 1-9.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Fernández de Mendiola, J.A. &amp; Bea, A. 1998. Vertebrados Continentales. Situación actual en la Comunidad Autónoma del País Vasco. Departamento de Industria, Agricultura y Pesca. Gobierno Vasco. Vitoria.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Jaspers, V., </w:t>
      </w:r>
      <w:proofErr w:type="spellStart"/>
      <w:r w:rsidRPr="009A39D6">
        <w:rPr>
          <w:rFonts w:asciiTheme="minorHAnsi" w:hAnsiTheme="minorHAnsi" w:cstheme="minorHAnsi"/>
        </w:rPr>
        <w:t>Covaci</w:t>
      </w:r>
      <w:proofErr w:type="spellEnd"/>
      <w:r w:rsidRPr="009A39D6">
        <w:rPr>
          <w:rFonts w:asciiTheme="minorHAnsi" w:hAnsiTheme="minorHAnsi" w:cstheme="minorHAnsi"/>
        </w:rPr>
        <w:t xml:space="preserve">, A., </w:t>
      </w:r>
      <w:proofErr w:type="spellStart"/>
      <w:r w:rsidRPr="009A39D6">
        <w:rPr>
          <w:rFonts w:asciiTheme="minorHAnsi" w:hAnsiTheme="minorHAnsi" w:cstheme="minorHAnsi"/>
        </w:rPr>
        <w:t>Maervoet</w:t>
      </w:r>
      <w:proofErr w:type="spellEnd"/>
      <w:r w:rsidRPr="009A39D6">
        <w:rPr>
          <w:rFonts w:asciiTheme="minorHAnsi" w:hAnsiTheme="minorHAnsi" w:cstheme="minorHAnsi"/>
        </w:rPr>
        <w:t xml:space="preserve">, J., </w:t>
      </w:r>
      <w:proofErr w:type="spellStart"/>
      <w:r w:rsidRPr="009A39D6">
        <w:rPr>
          <w:rFonts w:asciiTheme="minorHAnsi" w:hAnsiTheme="minorHAnsi" w:cstheme="minorHAnsi"/>
        </w:rPr>
        <w:t>Dauwe</w:t>
      </w:r>
      <w:proofErr w:type="spellEnd"/>
      <w:r w:rsidRPr="009A39D6">
        <w:rPr>
          <w:rFonts w:asciiTheme="minorHAnsi" w:hAnsiTheme="minorHAnsi" w:cstheme="minorHAnsi"/>
        </w:rPr>
        <w:t xml:space="preserve">, T., </w:t>
      </w:r>
      <w:proofErr w:type="spellStart"/>
      <w:r w:rsidRPr="009A39D6">
        <w:rPr>
          <w:rFonts w:asciiTheme="minorHAnsi" w:hAnsiTheme="minorHAnsi" w:cstheme="minorHAnsi"/>
        </w:rPr>
        <w:t>Voorspoels</w:t>
      </w:r>
      <w:proofErr w:type="spellEnd"/>
      <w:r w:rsidRPr="009A39D6">
        <w:rPr>
          <w:rFonts w:asciiTheme="minorHAnsi" w:hAnsiTheme="minorHAnsi" w:cstheme="minorHAnsi"/>
        </w:rPr>
        <w:t xml:space="preserve">, S., </w:t>
      </w:r>
      <w:proofErr w:type="spellStart"/>
      <w:r w:rsidRPr="009A39D6">
        <w:rPr>
          <w:rFonts w:asciiTheme="minorHAnsi" w:hAnsiTheme="minorHAnsi" w:cstheme="minorHAnsi"/>
        </w:rPr>
        <w:t>Schepens</w:t>
      </w:r>
      <w:proofErr w:type="spellEnd"/>
      <w:r w:rsidRPr="009A39D6">
        <w:rPr>
          <w:rFonts w:asciiTheme="minorHAnsi" w:hAnsiTheme="minorHAnsi" w:cstheme="minorHAnsi"/>
        </w:rPr>
        <w:t xml:space="preserve">, P. &amp; </w:t>
      </w:r>
      <w:proofErr w:type="spellStart"/>
      <w:r w:rsidRPr="009A39D6">
        <w:rPr>
          <w:rFonts w:asciiTheme="minorHAnsi" w:hAnsiTheme="minorHAnsi" w:cstheme="minorHAnsi"/>
        </w:rPr>
        <w:t>Eens</w:t>
      </w:r>
      <w:proofErr w:type="spellEnd"/>
      <w:r w:rsidRPr="009A39D6">
        <w:rPr>
          <w:rFonts w:asciiTheme="minorHAnsi" w:hAnsiTheme="minorHAnsi" w:cstheme="minorHAnsi"/>
        </w:rPr>
        <w:t xml:space="preserve">, M. 2005. </w:t>
      </w:r>
      <w:proofErr w:type="spellStart"/>
      <w:r w:rsidRPr="009A39D6">
        <w:rPr>
          <w:rFonts w:asciiTheme="minorHAnsi" w:hAnsiTheme="minorHAnsi" w:cstheme="minorHAnsi"/>
        </w:rPr>
        <w:t>Brominated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flame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retardants</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organochlorine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pollotants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eggs</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little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from</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Belgium</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Environmental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Pollution</w:t>
      </w:r>
      <w:proofErr w:type="spellEnd"/>
      <w:r w:rsidRPr="009A39D6">
        <w:rPr>
          <w:rFonts w:asciiTheme="minorHAnsi" w:hAnsiTheme="minorHAnsi" w:cstheme="minorHAnsi"/>
        </w:rPr>
        <w:t xml:space="preserve">, 136: 81-88.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Johnson, D.H., van </w:t>
      </w:r>
      <w:proofErr w:type="spellStart"/>
      <w:r w:rsidRPr="009A39D6">
        <w:rPr>
          <w:rFonts w:asciiTheme="minorHAnsi" w:hAnsiTheme="minorHAnsi" w:cstheme="minorHAnsi"/>
        </w:rPr>
        <w:t>Nieuwenhuyse</w:t>
      </w:r>
      <w:proofErr w:type="spellEnd"/>
      <w:r w:rsidRPr="009A39D6">
        <w:rPr>
          <w:rFonts w:asciiTheme="minorHAnsi" w:hAnsiTheme="minorHAnsi" w:cstheme="minorHAnsi"/>
        </w:rPr>
        <w:t>, D. &amp; Nelson, M. D. 2011. Los búhos forestales europeos. Situación poblacional, tendencias, conservación y seguimiento. Pp.: 4049. En Zuberogoitia, I. &amp; Martínez, J.E. (</w:t>
      </w:r>
      <w:proofErr w:type="spellStart"/>
      <w:r w:rsidRPr="009A39D6">
        <w:rPr>
          <w:rFonts w:asciiTheme="minorHAnsi" w:hAnsiTheme="minorHAnsi" w:cstheme="minorHAnsi"/>
        </w:rPr>
        <w:t>Eds</w:t>
      </w:r>
      <w:proofErr w:type="spellEnd"/>
      <w:r w:rsidRPr="009A39D6">
        <w:rPr>
          <w:rFonts w:asciiTheme="minorHAnsi" w:hAnsiTheme="minorHAnsi" w:cstheme="minorHAnsi"/>
        </w:rPr>
        <w:t xml:space="preserve">). Ecología y Conservación de las Rapaces Forestales Europeas. Dpto de Agricultura. Diputación Foral de Bizkaia. Bilbao. 407 pp. </w:t>
      </w:r>
    </w:p>
    <w:p w:rsidR="00FB0B92" w:rsidRPr="009A39D6" w:rsidRDefault="0059073A" w:rsidP="009A39D6">
      <w:pPr>
        <w:spacing w:before="120" w:after="120" w:line="300" w:lineRule="atLeast"/>
        <w:ind w:left="-15" w:right="865" w:firstLine="0"/>
        <w:rPr>
          <w:rFonts w:asciiTheme="minorHAnsi" w:hAnsiTheme="minorHAnsi" w:cstheme="minorHAnsi"/>
        </w:rPr>
      </w:pPr>
      <w:proofErr w:type="spellStart"/>
      <w:r w:rsidRPr="009A39D6">
        <w:rPr>
          <w:rFonts w:asciiTheme="minorHAnsi" w:hAnsiTheme="minorHAnsi" w:cstheme="minorHAnsi"/>
        </w:rPr>
        <w:t>König</w:t>
      </w:r>
      <w:proofErr w:type="spellEnd"/>
      <w:r w:rsidRPr="009A39D6">
        <w:rPr>
          <w:rFonts w:asciiTheme="minorHAnsi" w:hAnsiTheme="minorHAnsi" w:cstheme="minorHAnsi"/>
        </w:rPr>
        <w:t xml:space="preserve">, K. &amp; </w:t>
      </w:r>
      <w:proofErr w:type="spellStart"/>
      <w:r w:rsidRPr="009A39D6">
        <w:rPr>
          <w:rFonts w:asciiTheme="minorHAnsi" w:hAnsiTheme="minorHAnsi" w:cstheme="minorHAnsi"/>
        </w:rPr>
        <w:t>Weick</w:t>
      </w:r>
      <w:proofErr w:type="spellEnd"/>
      <w:r w:rsidRPr="009A39D6">
        <w:rPr>
          <w:rFonts w:asciiTheme="minorHAnsi" w:hAnsiTheme="minorHAnsi" w:cstheme="minorHAnsi"/>
        </w:rPr>
        <w:t xml:space="preserve">, F.  2008.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world</w:t>
      </w:r>
      <w:proofErr w:type="spellEnd"/>
      <w:r w:rsidRPr="009A39D6">
        <w:rPr>
          <w:rFonts w:asciiTheme="minorHAnsi" w:hAnsiTheme="minorHAnsi" w:cstheme="minorHAnsi"/>
        </w:rPr>
        <w:t xml:space="preserve">. Yale </w:t>
      </w:r>
      <w:proofErr w:type="spellStart"/>
      <w:r w:rsidRPr="009A39D6">
        <w:rPr>
          <w:rFonts w:asciiTheme="minorHAnsi" w:hAnsiTheme="minorHAnsi" w:cstheme="minorHAnsi"/>
        </w:rPr>
        <w:t>University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Press</w:t>
      </w:r>
      <w:proofErr w:type="spellEnd"/>
      <w:r w:rsidRPr="009A39D6">
        <w:rPr>
          <w:rFonts w:asciiTheme="minorHAnsi" w:hAnsiTheme="minorHAnsi" w:cstheme="minorHAnsi"/>
        </w:rPr>
        <w:t xml:space="preserve">, New Haven.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Martí, R., del Moral, J.C. (Ed.). 2003. Atlas de las Aves Reproductoras de España. Dirección General de Conservación de la Naturaleza – Sociedad Española de Ornitología, Madrid.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Martínez, J.A. &amp; Zuberogoitia, I. 2003. La urbanización litoral de Alicante reduce la población de mochuelos. </w:t>
      </w:r>
      <w:proofErr w:type="spellStart"/>
      <w:r w:rsidRPr="009A39D6">
        <w:rPr>
          <w:rFonts w:asciiTheme="minorHAnsi" w:hAnsiTheme="minorHAnsi" w:cstheme="minorHAnsi"/>
        </w:rPr>
        <w:t>Quercus</w:t>
      </w:r>
      <w:proofErr w:type="spellEnd"/>
      <w:r w:rsidRPr="009A39D6">
        <w:rPr>
          <w:rFonts w:asciiTheme="minorHAnsi" w:hAnsiTheme="minorHAnsi" w:cstheme="minorHAnsi"/>
        </w:rPr>
        <w:t xml:space="preserve">, 203: 52.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Martínez, J.A. &amp; Zuberogoitia, I. 2004a. </w:t>
      </w:r>
      <w:proofErr w:type="spellStart"/>
      <w:r w:rsidRPr="009A39D6">
        <w:rPr>
          <w:rFonts w:asciiTheme="minorHAnsi" w:hAnsiTheme="minorHAnsi" w:cstheme="minorHAnsi"/>
        </w:rPr>
        <w:t>Habitat</w:t>
      </w:r>
      <w:proofErr w:type="spellEnd"/>
      <w:r w:rsidRPr="009A39D6">
        <w:rPr>
          <w:rFonts w:asciiTheme="minorHAnsi" w:hAnsiTheme="minorHAnsi" w:cstheme="minorHAnsi"/>
        </w:rPr>
        <w:t xml:space="preserve"> preferentes </w:t>
      </w:r>
      <w:proofErr w:type="spellStart"/>
      <w:r w:rsidRPr="009A39D6">
        <w:rPr>
          <w:rFonts w:asciiTheme="minorHAnsi" w:hAnsiTheme="minorHAnsi" w:cstheme="minorHAnsi"/>
        </w:rPr>
        <w:t>for</w:t>
      </w:r>
      <w:proofErr w:type="spellEnd"/>
      <w:r w:rsidRPr="009A39D6">
        <w:rPr>
          <w:rFonts w:asciiTheme="minorHAnsi" w:hAnsiTheme="minorHAnsi" w:cstheme="minorHAnsi"/>
        </w:rPr>
        <w:t xml:space="preserve"> Long-</w:t>
      </w:r>
      <w:proofErr w:type="spellStart"/>
      <w:r w:rsidRPr="009A39D6">
        <w:rPr>
          <w:rFonts w:asciiTheme="minorHAnsi" w:hAnsiTheme="minorHAnsi" w:cstheme="minorHAnsi"/>
        </w:rPr>
        <w:t>eared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Asio</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otus</w:t>
      </w:r>
      <w:proofErr w:type="spellEnd"/>
      <w:r w:rsidRPr="009A39D6">
        <w:rPr>
          <w:rFonts w:asciiTheme="minorHAnsi" w:hAnsiTheme="minorHAnsi" w:cstheme="minorHAnsi"/>
        </w:rPr>
        <w:t xml:space="preserve"> and Little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semi-arid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environments</w:t>
      </w:r>
      <w:proofErr w:type="spellEnd"/>
      <w:r w:rsidRPr="009A39D6">
        <w:rPr>
          <w:rFonts w:asciiTheme="minorHAnsi" w:hAnsiTheme="minorHAnsi" w:cstheme="minorHAnsi"/>
        </w:rPr>
        <w:t xml:space="preserve"> at </w:t>
      </w:r>
      <w:proofErr w:type="spellStart"/>
      <w:r w:rsidRPr="009A39D6">
        <w:rPr>
          <w:rFonts w:asciiTheme="minorHAnsi" w:hAnsiTheme="minorHAnsi" w:cstheme="minorHAnsi"/>
        </w:rPr>
        <w:t>three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spatial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scales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Bird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Study</w:t>
      </w:r>
      <w:proofErr w:type="spellEnd"/>
      <w:r w:rsidRPr="009A39D6">
        <w:rPr>
          <w:rFonts w:asciiTheme="minorHAnsi" w:hAnsiTheme="minorHAnsi" w:cstheme="minorHAnsi"/>
        </w:rPr>
        <w:t xml:space="preserve">, 51: 163-169.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Martínez, J.A. &amp; Zuberogoitia, I. 2004b. </w:t>
      </w:r>
      <w:proofErr w:type="spellStart"/>
      <w:r w:rsidRPr="009A39D6">
        <w:rPr>
          <w:rFonts w:asciiTheme="minorHAnsi" w:hAnsiTheme="minorHAnsi" w:cstheme="minorHAnsi"/>
        </w:rPr>
        <w:t>Effects</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habitat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loss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perceived</w:t>
      </w:r>
      <w:proofErr w:type="spellEnd"/>
      <w:r w:rsidRPr="009A39D6">
        <w:rPr>
          <w:rFonts w:asciiTheme="minorHAnsi" w:hAnsiTheme="minorHAnsi" w:cstheme="minorHAnsi"/>
        </w:rPr>
        <w:t xml:space="preserve"> actual </w:t>
      </w:r>
      <w:proofErr w:type="spellStart"/>
      <w:r w:rsidRPr="009A39D6">
        <w:rPr>
          <w:rFonts w:asciiTheme="minorHAnsi" w:hAnsiTheme="minorHAnsi" w:cstheme="minorHAnsi"/>
        </w:rPr>
        <w:t>abundance</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Little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Ardeola</w:t>
      </w:r>
      <w:proofErr w:type="spellEnd"/>
      <w:r w:rsidRPr="009A39D6">
        <w:rPr>
          <w:rFonts w:asciiTheme="minorHAnsi" w:hAnsiTheme="minorHAnsi" w:cstheme="minorHAnsi"/>
        </w:rPr>
        <w:t xml:space="preserve">, 51 (1): 215-219.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Martínez, J.A., Zuberogoitia, I. &amp; Alonso, R. 2002. Determinación del sexo y la edad de las rapaces nocturnas ibéricas. Ed. SEO-Montícola.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Martínez, J.A. &amp; Zuberogoitia, I. 2003. La urbanización litoral de Alicante reduce la población de mochuelos. </w:t>
      </w:r>
      <w:proofErr w:type="spellStart"/>
      <w:r w:rsidRPr="009A39D6">
        <w:rPr>
          <w:rFonts w:asciiTheme="minorHAnsi" w:hAnsiTheme="minorHAnsi" w:cstheme="minorHAnsi"/>
        </w:rPr>
        <w:t>Quercus</w:t>
      </w:r>
      <w:proofErr w:type="spellEnd"/>
      <w:r w:rsidRPr="009A39D6">
        <w:rPr>
          <w:rFonts w:asciiTheme="minorHAnsi" w:hAnsiTheme="minorHAnsi" w:cstheme="minorHAnsi"/>
        </w:rPr>
        <w:t xml:space="preserve">, 203: 52.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Michel, V.T., </w:t>
      </w:r>
      <w:proofErr w:type="spellStart"/>
      <w:r w:rsidRPr="009A39D6">
        <w:rPr>
          <w:rFonts w:asciiTheme="minorHAnsi" w:hAnsiTheme="minorHAnsi" w:cstheme="minorHAnsi"/>
        </w:rPr>
        <w:t>Naef-Daenzer</w:t>
      </w:r>
      <w:proofErr w:type="spellEnd"/>
      <w:r w:rsidRPr="009A39D6">
        <w:rPr>
          <w:rFonts w:asciiTheme="minorHAnsi" w:hAnsiTheme="minorHAnsi" w:cstheme="minorHAnsi"/>
        </w:rPr>
        <w:t xml:space="preserve">, B., </w:t>
      </w:r>
      <w:proofErr w:type="spellStart"/>
      <w:r w:rsidRPr="009A39D6">
        <w:rPr>
          <w:rFonts w:asciiTheme="minorHAnsi" w:hAnsiTheme="minorHAnsi" w:cstheme="minorHAnsi"/>
        </w:rPr>
        <w:t>Keil</w:t>
      </w:r>
      <w:proofErr w:type="spellEnd"/>
      <w:r w:rsidRPr="009A39D6">
        <w:rPr>
          <w:rFonts w:asciiTheme="minorHAnsi" w:hAnsiTheme="minorHAnsi" w:cstheme="minorHAnsi"/>
        </w:rPr>
        <w:t xml:space="preserve">, H. &amp; </w:t>
      </w:r>
      <w:proofErr w:type="spellStart"/>
      <w:r w:rsidRPr="009A39D6">
        <w:rPr>
          <w:rFonts w:asciiTheme="minorHAnsi" w:hAnsiTheme="minorHAnsi" w:cstheme="minorHAnsi"/>
        </w:rPr>
        <w:t>Grüebler</w:t>
      </w:r>
      <w:proofErr w:type="spellEnd"/>
      <w:r w:rsidRPr="009A39D6">
        <w:rPr>
          <w:rFonts w:asciiTheme="minorHAnsi" w:hAnsiTheme="minorHAnsi" w:cstheme="minorHAnsi"/>
        </w:rPr>
        <w:t xml:space="preserve">, M.U. 2017. </w:t>
      </w:r>
      <w:proofErr w:type="spellStart"/>
      <w:r w:rsidRPr="009A39D6">
        <w:rPr>
          <w:rFonts w:asciiTheme="minorHAnsi" w:hAnsiTheme="minorHAnsi" w:cstheme="minorHAnsi"/>
        </w:rPr>
        <w:t>Reproductive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consequences</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farmland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heterogeneity</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little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Oecologia</w:t>
      </w:r>
      <w:proofErr w:type="spellEnd"/>
      <w:r w:rsidRPr="009A39D6">
        <w:rPr>
          <w:rFonts w:asciiTheme="minorHAnsi" w:hAnsiTheme="minorHAnsi" w:cstheme="minorHAnsi"/>
        </w:rPr>
        <w:t xml:space="preserve"> 183: 1019–1029.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Pérez Olea, P. 1997. Mochuelo común. </w:t>
      </w:r>
      <w:proofErr w:type="spellStart"/>
      <w:r w:rsidRPr="009A39D6">
        <w:rPr>
          <w:rFonts w:asciiTheme="minorHAnsi" w:hAnsiTheme="minorHAnsi" w:cstheme="minorHAnsi"/>
        </w:rPr>
        <w:t>Purroy</w:t>
      </w:r>
      <w:proofErr w:type="spellEnd"/>
      <w:r w:rsidRPr="009A39D6">
        <w:rPr>
          <w:rFonts w:asciiTheme="minorHAnsi" w:hAnsiTheme="minorHAnsi" w:cstheme="minorHAnsi"/>
        </w:rPr>
        <w:t xml:space="preserve">, F. (Coord.). Atlas de las aves de España (1975-1995). </w:t>
      </w:r>
      <w:proofErr w:type="spellStart"/>
      <w:r w:rsidRPr="009A39D6">
        <w:rPr>
          <w:rFonts w:asciiTheme="minorHAnsi" w:hAnsiTheme="minorHAnsi" w:cstheme="minorHAnsi"/>
        </w:rPr>
        <w:t>Pp</w:t>
      </w:r>
      <w:proofErr w:type="spellEnd"/>
      <w:r w:rsidRPr="009A39D6">
        <w:rPr>
          <w:rFonts w:asciiTheme="minorHAnsi" w:hAnsiTheme="minorHAnsi" w:cstheme="minorHAnsi"/>
        </w:rPr>
        <w:t xml:space="preserve"> 260-261. Lynx </w:t>
      </w:r>
      <w:proofErr w:type="spellStart"/>
      <w:r w:rsidRPr="009A39D6">
        <w:rPr>
          <w:rFonts w:asciiTheme="minorHAnsi" w:hAnsiTheme="minorHAnsi" w:cstheme="minorHAnsi"/>
        </w:rPr>
        <w:t>Edicions</w:t>
      </w:r>
      <w:proofErr w:type="spellEnd"/>
      <w:r w:rsidRPr="009A39D6">
        <w:rPr>
          <w:rFonts w:asciiTheme="minorHAnsi" w:hAnsiTheme="minorHAnsi" w:cstheme="minorHAnsi"/>
        </w:rPr>
        <w:t xml:space="preserve">. Barcelona.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Rey-</w:t>
      </w:r>
      <w:proofErr w:type="spellStart"/>
      <w:r w:rsidRPr="009A39D6">
        <w:rPr>
          <w:rFonts w:asciiTheme="minorHAnsi" w:hAnsiTheme="minorHAnsi" w:cstheme="minorHAnsi"/>
        </w:rPr>
        <w:t>Beyanas</w:t>
      </w:r>
      <w:proofErr w:type="spellEnd"/>
      <w:r w:rsidRPr="009A39D6">
        <w:rPr>
          <w:rFonts w:asciiTheme="minorHAnsi" w:hAnsiTheme="minorHAnsi" w:cstheme="minorHAnsi"/>
        </w:rPr>
        <w:t xml:space="preserve">, J.M., de la Montaña, E., Pérez-Camacho, L., de la Cruz, M., </w:t>
      </w:r>
      <w:proofErr w:type="spellStart"/>
      <w:r w:rsidRPr="009A39D6">
        <w:rPr>
          <w:rFonts w:asciiTheme="minorHAnsi" w:hAnsiTheme="minorHAnsi" w:cstheme="minorHAnsi"/>
        </w:rPr>
        <w:t>MorenoMateos</w:t>
      </w:r>
      <w:proofErr w:type="spellEnd"/>
      <w:r w:rsidRPr="009A39D6">
        <w:rPr>
          <w:rFonts w:asciiTheme="minorHAnsi" w:hAnsiTheme="minorHAnsi" w:cstheme="minorHAnsi"/>
        </w:rPr>
        <w:t>, D., Parejo, J.L., Suárez, S. &amp; Galván, I. 2010. Short-</w:t>
      </w:r>
      <w:proofErr w:type="spellStart"/>
      <w:r w:rsidRPr="009A39D6">
        <w:rPr>
          <w:rFonts w:asciiTheme="minorHAnsi" w:hAnsiTheme="minorHAnsi" w:cstheme="minorHAnsi"/>
        </w:rPr>
        <w:t>term</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dynamics</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spatial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pattern</w:t>
      </w:r>
      <w:proofErr w:type="spellEnd"/>
      <w:r w:rsidRPr="009A39D6">
        <w:rPr>
          <w:rFonts w:asciiTheme="minorHAnsi" w:hAnsiTheme="minorHAnsi" w:cstheme="minorHAnsi"/>
        </w:rPr>
        <w:t xml:space="preserve"> of nocturnal </w:t>
      </w:r>
      <w:proofErr w:type="spellStart"/>
      <w:r w:rsidRPr="009A39D6">
        <w:rPr>
          <w:rFonts w:asciiTheme="minorHAnsi" w:hAnsiTheme="minorHAnsi" w:cstheme="minorHAnsi"/>
        </w:rPr>
        <w:t>birds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inhabiting</w:t>
      </w:r>
      <w:proofErr w:type="spellEnd"/>
      <w:r w:rsidRPr="009A39D6">
        <w:rPr>
          <w:rFonts w:asciiTheme="minorHAnsi" w:hAnsiTheme="minorHAnsi" w:cstheme="minorHAnsi"/>
        </w:rPr>
        <w:t xml:space="preserve"> a </w:t>
      </w:r>
      <w:proofErr w:type="spellStart"/>
      <w:r w:rsidRPr="009A39D6">
        <w:rPr>
          <w:rFonts w:asciiTheme="minorHAnsi" w:hAnsiTheme="minorHAnsi" w:cstheme="minorHAnsi"/>
        </w:rPr>
        <w:t>Mediterranean</w:t>
      </w:r>
      <w:proofErr w:type="spellEnd"/>
      <w:r w:rsidRPr="009A39D6">
        <w:rPr>
          <w:rFonts w:asciiTheme="minorHAnsi" w:hAnsiTheme="minorHAnsi" w:cstheme="minorHAnsi"/>
        </w:rPr>
        <w:t xml:space="preserve"> agricultura </w:t>
      </w:r>
      <w:proofErr w:type="spellStart"/>
      <w:r w:rsidRPr="009A39D6">
        <w:rPr>
          <w:rFonts w:asciiTheme="minorHAnsi" w:hAnsiTheme="minorHAnsi" w:cstheme="minorHAnsi"/>
        </w:rPr>
        <w:t>mosaic</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Ardeola</w:t>
      </w:r>
      <w:proofErr w:type="spellEnd"/>
      <w:r w:rsidRPr="009A39D6">
        <w:rPr>
          <w:rFonts w:asciiTheme="minorHAnsi" w:hAnsiTheme="minorHAnsi" w:cstheme="minorHAnsi"/>
        </w:rPr>
        <w:t xml:space="preserve">, 57: 303-320.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Staggenborg</w:t>
      </w:r>
      <w:proofErr w:type="spellEnd"/>
      <w:r w:rsidRPr="009A39D6">
        <w:rPr>
          <w:rFonts w:asciiTheme="minorHAnsi" w:hAnsiTheme="minorHAnsi" w:cstheme="minorHAnsi"/>
        </w:rPr>
        <w:t xml:space="preserve">, J., </w:t>
      </w:r>
      <w:proofErr w:type="spellStart"/>
      <w:r w:rsidRPr="009A39D6">
        <w:rPr>
          <w:rFonts w:asciiTheme="minorHAnsi" w:hAnsiTheme="minorHAnsi" w:cstheme="minorHAnsi"/>
        </w:rPr>
        <w:t>Schaefer</w:t>
      </w:r>
      <w:proofErr w:type="spellEnd"/>
      <w:r w:rsidRPr="009A39D6">
        <w:rPr>
          <w:rFonts w:asciiTheme="minorHAnsi" w:hAnsiTheme="minorHAnsi" w:cstheme="minorHAnsi"/>
        </w:rPr>
        <w:t xml:space="preserve">, H.M., </w:t>
      </w:r>
      <w:proofErr w:type="spellStart"/>
      <w:r w:rsidRPr="009A39D6">
        <w:rPr>
          <w:rFonts w:asciiTheme="minorHAnsi" w:hAnsiTheme="minorHAnsi" w:cstheme="minorHAnsi"/>
        </w:rPr>
        <w:t>Stange</w:t>
      </w:r>
      <w:proofErr w:type="spellEnd"/>
      <w:r w:rsidRPr="009A39D6">
        <w:rPr>
          <w:rFonts w:asciiTheme="minorHAnsi" w:hAnsiTheme="minorHAnsi" w:cstheme="minorHAnsi"/>
        </w:rPr>
        <w:t xml:space="preserve">, C., </w:t>
      </w:r>
      <w:proofErr w:type="spellStart"/>
      <w:r w:rsidRPr="009A39D6">
        <w:rPr>
          <w:rFonts w:asciiTheme="minorHAnsi" w:hAnsiTheme="minorHAnsi" w:cstheme="minorHAnsi"/>
        </w:rPr>
        <w:t>Naef-Daenzer</w:t>
      </w:r>
      <w:proofErr w:type="spellEnd"/>
      <w:r w:rsidRPr="009A39D6">
        <w:rPr>
          <w:rFonts w:asciiTheme="minorHAnsi" w:hAnsiTheme="minorHAnsi" w:cstheme="minorHAnsi"/>
        </w:rPr>
        <w:t xml:space="preserve">, B. &amp; </w:t>
      </w:r>
      <w:proofErr w:type="spellStart"/>
      <w:r w:rsidRPr="009A39D6">
        <w:rPr>
          <w:rFonts w:asciiTheme="minorHAnsi" w:hAnsiTheme="minorHAnsi" w:cstheme="minorHAnsi"/>
        </w:rPr>
        <w:t>Grüebler</w:t>
      </w:r>
      <w:proofErr w:type="spellEnd"/>
      <w:r w:rsidRPr="009A39D6">
        <w:rPr>
          <w:rFonts w:asciiTheme="minorHAnsi" w:hAnsiTheme="minorHAnsi" w:cstheme="minorHAnsi"/>
        </w:rPr>
        <w:t xml:space="preserve">, M.U. 2017. Time and travelling </w:t>
      </w:r>
      <w:proofErr w:type="spellStart"/>
      <w:r w:rsidRPr="009A39D6">
        <w:rPr>
          <w:rFonts w:asciiTheme="minorHAnsi" w:hAnsiTheme="minorHAnsi" w:cstheme="minorHAnsi"/>
        </w:rPr>
        <w:t>cost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during</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chick-rearing</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relation</w:t>
      </w:r>
      <w:proofErr w:type="spellEnd"/>
      <w:r w:rsidRPr="009A39D6">
        <w:rPr>
          <w:rFonts w:asciiTheme="minorHAnsi" w:hAnsiTheme="minorHAnsi" w:cstheme="minorHAnsi"/>
        </w:rPr>
        <w:t xml:space="preserve"> to </w:t>
      </w:r>
      <w:proofErr w:type="spellStart"/>
      <w:r w:rsidRPr="009A39D6">
        <w:rPr>
          <w:rFonts w:asciiTheme="minorHAnsi" w:hAnsiTheme="minorHAnsi" w:cstheme="minorHAnsi"/>
        </w:rPr>
        <w:t>habitat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quality</w:t>
      </w:r>
      <w:proofErr w:type="spellEnd"/>
      <w:r w:rsidRPr="009A39D6">
        <w:rPr>
          <w:rFonts w:asciiTheme="minorHAnsi" w:hAnsiTheme="minorHAnsi" w:cstheme="minorHAnsi"/>
        </w:rPr>
        <w:t xml:space="preserve"> in Little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Athene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noctua</w:t>
      </w:r>
      <w:proofErr w:type="spellEnd"/>
      <w:r w:rsidRPr="009A39D6">
        <w:rPr>
          <w:rFonts w:asciiTheme="minorHAnsi" w:hAnsiTheme="minorHAnsi" w:cstheme="minorHAnsi"/>
        </w:rPr>
        <w:t xml:space="preserve">. Ibis, 159: 519-531. </w:t>
      </w:r>
    </w:p>
    <w:p w:rsidR="00FB0B92" w:rsidRPr="009A39D6" w:rsidRDefault="0059073A" w:rsidP="009A39D6">
      <w:pPr>
        <w:spacing w:before="120" w:after="120" w:line="300" w:lineRule="atLeast"/>
        <w:ind w:left="278" w:right="865"/>
        <w:rPr>
          <w:rFonts w:asciiTheme="minorHAnsi" w:hAnsiTheme="minorHAnsi" w:cstheme="minorHAnsi"/>
        </w:rPr>
      </w:pPr>
      <w:proofErr w:type="spellStart"/>
      <w:r w:rsidRPr="009A39D6">
        <w:rPr>
          <w:rFonts w:asciiTheme="minorHAnsi" w:hAnsiTheme="minorHAnsi" w:cstheme="minorHAnsi"/>
        </w:rPr>
        <w:t>Thorup</w:t>
      </w:r>
      <w:proofErr w:type="spellEnd"/>
      <w:r w:rsidRPr="009A39D6">
        <w:rPr>
          <w:rFonts w:asciiTheme="minorHAnsi" w:hAnsiTheme="minorHAnsi" w:cstheme="minorHAnsi"/>
        </w:rPr>
        <w:t xml:space="preserve">, K., </w:t>
      </w:r>
      <w:proofErr w:type="spellStart"/>
      <w:r w:rsidRPr="009A39D6">
        <w:rPr>
          <w:rFonts w:asciiTheme="minorHAnsi" w:hAnsiTheme="minorHAnsi" w:cstheme="minorHAnsi"/>
        </w:rPr>
        <w:t>Pedersen</w:t>
      </w:r>
      <w:proofErr w:type="spellEnd"/>
      <w:r w:rsidRPr="009A39D6">
        <w:rPr>
          <w:rFonts w:asciiTheme="minorHAnsi" w:hAnsiTheme="minorHAnsi" w:cstheme="minorHAnsi"/>
        </w:rPr>
        <w:t xml:space="preserve">, D., </w:t>
      </w:r>
      <w:proofErr w:type="spellStart"/>
      <w:r w:rsidRPr="009A39D6">
        <w:rPr>
          <w:rFonts w:asciiTheme="minorHAnsi" w:hAnsiTheme="minorHAnsi" w:cstheme="minorHAnsi"/>
        </w:rPr>
        <w:t>Sunde</w:t>
      </w:r>
      <w:proofErr w:type="spellEnd"/>
      <w:r w:rsidRPr="009A39D6">
        <w:rPr>
          <w:rFonts w:asciiTheme="minorHAnsi" w:hAnsiTheme="minorHAnsi" w:cstheme="minorHAnsi"/>
        </w:rPr>
        <w:t xml:space="preserve">, P., Jacobsen, L.B. &amp; </w:t>
      </w:r>
      <w:proofErr w:type="spellStart"/>
      <w:r w:rsidRPr="009A39D6">
        <w:rPr>
          <w:rFonts w:asciiTheme="minorHAnsi" w:hAnsiTheme="minorHAnsi" w:cstheme="minorHAnsi"/>
        </w:rPr>
        <w:t>Rahbek</w:t>
      </w:r>
      <w:proofErr w:type="spellEnd"/>
      <w:r w:rsidRPr="009A39D6">
        <w:rPr>
          <w:rFonts w:asciiTheme="minorHAnsi" w:hAnsiTheme="minorHAnsi" w:cstheme="minorHAnsi"/>
        </w:rPr>
        <w:t xml:space="preserve">, C. 2013. </w:t>
      </w:r>
      <w:proofErr w:type="spellStart"/>
      <w:r w:rsidRPr="009A39D6">
        <w:rPr>
          <w:rFonts w:asciiTheme="minorHAnsi" w:hAnsiTheme="minorHAnsi" w:cstheme="minorHAnsi"/>
        </w:rPr>
        <w:t>Seasonal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survival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rates</w:t>
      </w:r>
      <w:proofErr w:type="spellEnd"/>
      <w:r w:rsidRPr="009A39D6">
        <w:rPr>
          <w:rFonts w:asciiTheme="minorHAnsi" w:hAnsiTheme="minorHAnsi" w:cstheme="minorHAnsi"/>
        </w:rPr>
        <w:t xml:space="preserve"> and causes of </w:t>
      </w:r>
      <w:proofErr w:type="spellStart"/>
      <w:r w:rsidRPr="009A39D6">
        <w:rPr>
          <w:rFonts w:asciiTheme="minorHAnsi" w:hAnsiTheme="minorHAnsi" w:cstheme="minorHAnsi"/>
        </w:rPr>
        <w:t>mortality</w:t>
      </w:r>
      <w:proofErr w:type="spellEnd"/>
      <w:r w:rsidRPr="009A39D6">
        <w:rPr>
          <w:rFonts w:asciiTheme="minorHAnsi" w:hAnsiTheme="minorHAnsi" w:cstheme="minorHAnsi"/>
        </w:rPr>
        <w:t xml:space="preserve"> of Little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Denmark</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Journal</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Ornithology</w:t>
      </w:r>
      <w:proofErr w:type="spellEnd"/>
      <w:r w:rsidRPr="009A39D6">
        <w:rPr>
          <w:rFonts w:asciiTheme="minorHAnsi" w:hAnsiTheme="minorHAnsi" w:cstheme="minorHAnsi"/>
        </w:rPr>
        <w:t xml:space="preserve">, 154: 183-190.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Tucker, G.M. &amp; </w:t>
      </w:r>
      <w:proofErr w:type="spellStart"/>
      <w:r w:rsidRPr="009A39D6">
        <w:rPr>
          <w:rFonts w:asciiTheme="minorHAnsi" w:hAnsiTheme="minorHAnsi" w:cstheme="minorHAnsi"/>
        </w:rPr>
        <w:t>Heath</w:t>
      </w:r>
      <w:proofErr w:type="spellEnd"/>
      <w:r w:rsidRPr="009A39D6">
        <w:rPr>
          <w:rFonts w:asciiTheme="minorHAnsi" w:hAnsiTheme="minorHAnsi" w:cstheme="minorHAnsi"/>
        </w:rPr>
        <w:t xml:space="preserve">, M.F. 1994. </w:t>
      </w:r>
      <w:proofErr w:type="spellStart"/>
      <w:r w:rsidRPr="009A39D6">
        <w:rPr>
          <w:rFonts w:asciiTheme="minorHAnsi" w:hAnsiTheme="minorHAnsi" w:cstheme="minorHAnsi"/>
        </w:rPr>
        <w:t>Birds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Europe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their</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conservation</w:t>
      </w:r>
      <w:proofErr w:type="spellEnd"/>
      <w:r w:rsidRPr="009A39D6">
        <w:rPr>
          <w:rFonts w:asciiTheme="minorHAnsi" w:hAnsiTheme="minorHAnsi" w:cstheme="minorHAnsi"/>
        </w:rPr>
        <w:t xml:space="preserve"> status. </w:t>
      </w:r>
      <w:proofErr w:type="spellStart"/>
      <w:r w:rsidRPr="009A39D6">
        <w:rPr>
          <w:rFonts w:asciiTheme="minorHAnsi" w:hAnsiTheme="minorHAnsi" w:cstheme="minorHAnsi"/>
        </w:rPr>
        <w:t>BirdLife</w:t>
      </w:r>
      <w:proofErr w:type="spellEnd"/>
      <w:r w:rsidRPr="009A39D6">
        <w:rPr>
          <w:rFonts w:asciiTheme="minorHAnsi" w:hAnsiTheme="minorHAnsi" w:cstheme="minorHAnsi"/>
        </w:rPr>
        <w:t xml:space="preserve"> International. Cambridge, U.K.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Van </w:t>
      </w:r>
      <w:proofErr w:type="spellStart"/>
      <w:r w:rsidRPr="009A39D6">
        <w:rPr>
          <w:rFonts w:asciiTheme="minorHAnsi" w:hAnsiTheme="minorHAnsi" w:cstheme="minorHAnsi"/>
        </w:rPr>
        <w:t>Niewenhuyse</w:t>
      </w:r>
      <w:proofErr w:type="spellEnd"/>
      <w:r w:rsidRPr="009A39D6">
        <w:rPr>
          <w:rFonts w:asciiTheme="minorHAnsi" w:hAnsiTheme="minorHAnsi" w:cstheme="minorHAnsi"/>
        </w:rPr>
        <w:t xml:space="preserve">, D., </w:t>
      </w:r>
      <w:proofErr w:type="spellStart"/>
      <w:r w:rsidRPr="009A39D6">
        <w:rPr>
          <w:rFonts w:asciiTheme="minorHAnsi" w:hAnsiTheme="minorHAnsi" w:cstheme="minorHAnsi"/>
        </w:rPr>
        <w:t>Génot</w:t>
      </w:r>
      <w:proofErr w:type="spellEnd"/>
      <w:r w:rsidRPr="009A39D6">
        <w:rPr>
          <w:rFonts w:asciiTheme="minorHAnsi" w:hAnsiTheme="minorHAnsi" w:cstheme="minorHAnsi"/>
        </w:rPr>
        <w:t xml:space="preserve">, J.-C. &amp; </w:t>
      </w:r>
      <w:proofErr w:type="spellStart"/>
      <w:r w:rsidRPr="009A39D6">
        <w:rPr>
          <w:rFonts w:asciiTheme="minorHAnsi" w:hAnsiTheme="minorHAnsi" w:cstheme="minorHAnsi"/>
        </w:rPr>
        <w:t>Jonson</w:t>
      </w:r>
      <w:proofErr w:type="spellEnd"/>
      <w:r w:rsidRPr="009A39D6">
        <w:rPr>
          <w:rFonts w:asciiTheme="minorHAnsi" w:hAnsiTheme="minorHAnsi" w:cstheme="minorHAnsi"/>
        </w:rPr>
        <w:t xml:space="preserve">, D.H. 2008.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Little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Conservation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Ecology</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Behaviour</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Athene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noctua</w:t>
      </w:r>
      <w:proofErr w:type="spellEnd"/>
      <w:r w:rsidRPr="009A39D6">
        <w:rPr>
          <w:rFonts w:asciiTheme="minorHAnsi" w:hAnsiTheme="minorHAnsi" w:cstheme="minorHAnsi"/>
        </w:rPr>
        <w:t xml:space="preserve">. Cambridge </w:t>
      </w:r>
      <w:proofErr w:type="spellStart"/>
      <w:r w:rsidRPr="009A39D6">
        <w:rPr>
          <w:rFonts w:asciiTheme="minorHAnsi" w:hAnsiTheme="minorHAnsi" w:cstheme="minorHAnsi"/>
        </w:rPr>
        <w:t>University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Press</w:t>
      </w:r>
      <w:proofErr w:type="spellEnd"/>
      <w:r w:rsidRPr="009A39D6">
        <w:rPr>
          <w:rFonts w:asciiTheme="minorHAnsi" w:hAnsiTheme="minorHAnsi" w:cstheme="minorHAnsi"/>
        </w:rPr>
        <w:t xml:space="preserve">, Cambridge.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Zabala, J., Zuberogoitia, I., Martínez, J.A., Martínez, J.E., </w:t>
      </w:r>
      <w:proofErr w:type="spellStart"/>
      <w:r w:rsidRPr="009A39D6">
        <w:rPr>
          <w:rFonts w:asciiTheme="minorHAnsi" w:hAnsiTheme="minorHAnsi" w:cstheme="minorHAnsi"/>
        </w:rPr>
        <w:t>Azkona</w:t>
      </w:r>
      <w:proofErr w:type="spellEnd"/>
      <w:r w:rsidRPr="009A39D6">
        <w:rPr>
          <w:rFonts w:asciiTheme="minorHAnsi" w:hAnsiTheme="minorHAnsi" w:cstheme="minorHAnsi"/>
        </w:rPr>
        <w:t xml:space="preserve">, A., Hidalgo, S. &amp; </w:t>
      </w:r>
      <w:proofErr w:type="spellStart"/>
      <w:r w:rsidRPr="009A39D6">
        <w:rPr>
          <w:rFonts w:asciiTheme="minorHAnsi" w:hAnsiTheme="minorHAnsi" w:cstheme="minorHAnsi"/>
        </w:rPr>
        <w:t>Iraeta</w:t>
      </w:r>
      <w:proofErr w:type="spellEnd"/>
      <w:r w:rsidRPr="009A39D6">
        <w:rPr>
          <w:rFonts w:asciiTheme="minorHAnsi" w:hAnsiTheme="minorHAnsi" w:cstheme="minorHAnsi"/>
        </w:rPr>
        <w:t xml:space="preserve">, A. 2006. </w:t>
      </w:r>
      <w:proofErr w:type="spellStart"/>
      <w:r w:rsidRPr="009A39D6">
        <w:rPr>
          <w:rFonts w:asciiTheme="minorHAnsi" w:hAnsiTheme="minorHAnsi" w:cstheme="minorHAnsi"/>
        </w:rPr>
        <w:t>Occupance</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abundance</w:t>
      </w:r>
      <w:proofErr w:type="spellEnd"/>
      <w:r w:rsidRPr="009A39D6">
        <w:rPr>
          <w:rFonts w:asciiTheme="minorHAnsi" w:hAnsiTheme="minorHAnsi" w:cstheme="minorHAnsi"/>
        </w:rPr>
        <w:t xml:space="preserve"> of Little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an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intensively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managed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forest</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area</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Biscay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Ornis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Fennica</w:t>
      </w:r>
      <w:proofErr w:type="spellEnd"/>
      <w:r w:rsidRPr="009A39D6">
        <w:rPr>
          <w:rFonts w:asciiTheme="minorHAnsi" w:hAnsiTheme="minorHAnsi" w:cstheme="minorHAnsi"/>
        </w:rPr>
        <w:t xml:space="preserve"> 83: 97-107.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&amp; Campos, L.F. 1996. Colocación de cajas nido para rapaces nocturnas en Bizkaia. Dpto Agricultura. Diputación Foral de Bizkaia. Informe inédito. Bilbao.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2002. </w:t>
      </w:r>
      <w:proofErr w:type="spellStart"/>
      <w:r w:rsidRPr="009A39D6">
        <w:rPr>
          <w:rFonts w:asciiTheme="minorHAnsi" w:hAnsiTheme="minorHAnsi" w:cstheme="minorHAnsi"/>
        </w:rPr>
        <w:t>Ecoetología</w:t>
      </w:r>
      <w:proofErr w:type="spellEnd"/>
      <w:r w:rsidRPr="009A39D6">
        <w:rPr>
          <w:rFonts w:asciiTheme="minorHAnsi" w:hAnsiTheme="minorHAnsi" w:cstheme="minorHAnsi"/>
        </w:rPr>
        <w:t xml:space="preserve"> de las Rapaces Nocturnas de Bizkaia. Tesis Doctoral. Departamento de zoología y Dinámica Celular Animal. Universidad del País Vasco, </w:t>
      </w:r>
      <w:proofErr w:type="spellStart"/>
      <w:r w:rsidRPr="009A39D6">
        <w:rPr>
          <w:rFonts w:asciiTheme="minorHAnsi" w:hAnsiTheme="minorHAnsi" w:cstheme="minorHAnsi"/>
        </w:rPr>
        <w:t>Leioa</w:t>
      </w:r>
      <w:proofErr w:type="spellEnd"/>
      <w:r w:rsidRPr="009A39D6">
        <w:rPr>
          <w:rFonts w:asciiTheme="minorHAnsi" w:hAnsiTheme="minorHAnsi" w:cstheme="minorHAnsi"/>
        </w:rPr>
        <w:t xml:space="preserve">. 117 pp.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2007. </w:t>
      </w:r>
      <w:proofErr w:type="spellStart"/>
      <w:r w:rsidRPr="009A39D6">
        <w:rPr>
          <w:rFonts w:asciiTheme="minorHAnsi" w:hAnsiTheme="minorHAnsi" w:cstheme="minorHAnsi"/>
        </w:rPr>
        <w:t>Moxo</w:t>
      </w:r>
      <w:proofErr w:type="spellEnd"/>
      <w:r w:rsidRPr="009A39D6">
        <w:rPr>
          <w:rFonts w:asciiTheme="minorHAnsi" w:hAnsiTheme="minorHAnsi" w:cstheme="minorHAnsi"/>
        </w:rPr>
        <w:t xml:space="preserve">. Área de Sostenibilidad y Medio Ambiente. Ayuntamiento de </w:t>
      </w:r>
      <w:proofErr w:type="spellStart"/>
      <w:r w:rsidRPr="009A39D6">
        <w:rPr>
          <w:rFonts w:asciiTheme="minorHAnsi" w:hAnsiTheme="minorHAnsi" w:cstheme="minorHAnsi"/>
        </w:rPr>
        <w:t>Mungia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Mungia</w:t>
      </w:r>
      <w:proofErr w:type="spellEnd"/>
      <w:r w:rsidRPr="009A39D6">
        <w:rPr>
          <w:rFonts w:asciiTheme="minorHAnsi" w:hAnsiTheme="minorHAnsi" w:cstheme="minorHAnsi"/>
        </w:rPr>
        <w:t xml:space="preserve">.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2008. La vida en la campiña de </w:t>
      </w:r>
      <w:proofErr w:type="spellStart"/>
      <w:r w:rsidRPr="009A39D6">
        <w:rPr>
          <w:rFonts w:asciiTheme="minorHAnsi" w:hAnsiTheme="minorHAnsi" w:cstheme="minorHAnsi"/>
        </w:rPr>
        <w:t>Mungia</w:t>
      </w:r>
      <w:proofErr w:type="spellEnd"/>
      <w:r w:rsidRPr="009A39D6">
        <w:rPr>
          <w:rFonts w:asciiTheme="minorHAnsi" w:hAnsiTheme="minorHAnsi" w:cstheme="minorHAnsi"/>
        </w:rPr>
        <w:t xml:space="preserve">. Área de Sostenibilidad y Medio Ambiente. Ayuntamiento de </w:t>
      </w:r>
      <w:proofErr w:type="spellStart"/>
      <w:r w:rsidRPr="009A39D6">
        <w:rPr>
          <w:rFonts w:asciiTheme="minorHAnsi" w:hAnsiTheme="minorHAnsi" w:cstheme="minorHAnsi"/>
        </w:rPr>
        <w:t>Mungia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Mungia</w:t>
      </w:r>
      <w:proofErr w:type="spellEnd"/>
      <w:r w:rsidRPr="009A39D6">
        <w:rPr>
          <w:rFonts w:asciiTheme="minorHAnsi" w:hAnsiTheme="minorHAnsi" w:cstheme="minorHAnsi"/>
        </w:rPr>
        <w:t xml:space="preserve">.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Zuberogoitia, I. 2018. Censo de aves nocturnas de Euskadi. Departamento de Medio Ambiente, Planificación Territorial y Vivienda. Gobierno Vasco. Vitoria-</w:t>
      </w:r>
      <w:proofErr w:type="spellStart"/>
      <w:r w:rsidRPr="009A39D6">
        <w:rPr>
          <w:rFonts w:asciiTheme="minorHAnsi" w:hAnsiTheme="minorHAnsi" w:cstheme="minorHAnsi"/>
        </w:rPr>
        <w:t>Gazteiz</w:t>
      </w:r>
      <w:proofErr w:type="spellEnd"/>
      <w:r w:rsidRPr="009A39D6">
        <w:rPr>
          <w:rFonts w:asciiTheme="minorHAnsi" w:hAnsiTheme="minorHAnsi" w:cstheme="minorHAnsi"/>
        </w:rPr>
        <w:t xml:space="preserve">.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Zuberogoitia, I. 2009. Distribución y red de seguimiento del mochuelo común (</w:t>
      </w:r>
      <w:proofErr w:type="spellStart"/>
      <w:r w:rsidRPr="009A39D6">
        <w:rPr>
          <w:rFonts w:asciiTheme="minorHAnsi" w:hAnsiTheme="minorHAnsi" w:cstheme="minorHAnsi"/>
          <w:i/>
        </w:rPr>
        <w:t>Athene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en la CAPV. Centro de Biodiversidad de Euskadi, Madariaga </w:t>
      </w:r>
      <w:proofErr w:type="spellStart"/>
      <w:r w:rsidRPr="009A39D6">
        <w:rPr>
          <w:rFonts w:asciiTheme="minorHAnsi" w:hAnsiTheme="minorHAnsi" w:cstheme="minorHAnsi"/>
        </w:rPr>
        <w:t>Dorretxea</w:t>
      </w:r>
      <w:proofErr w:type="spellEnd"/>
      <w:r w:rsidRPr="009A39D6">
        <w:rPr>
          <w:rFonts w:asciiTheme="minorHAnsi" w:hAnsiTheme="minorHAnsi" w:cstheme="minorHAnsi"/>
        </w:rPr>
        <w:t xml:space="preserve">. Departamento de Medio Ambiente, Planificación Territorial, Agricultura y Pesca. </w:t>
      </w:r>
      <w:bookmarkStart w:id="0" w:name="_GoBack"/>
      <w:bookmarkEnd w:id="0"/>
      <w:r w:rsidRPr="009A39D6">
        <w:rPr>
          <w:rFonts w:asciiTheme="minorHAnsi" w:hAnsiTheme="minorHAnsi" w:cstheme="minorHAnsi"/>
        </w:rPr>
        <w:t xml:space="preserve">Gobierno Vasco. </w:t>
      </w:r>
      <w:proofErr w:type="spellStart"/>
      <w:r w:rsidRPr="009A39D6">
        <w:rPr>
          <w:rFonts w:asciiTheme="minorHAnsi" w:hAnsiTheme="minorHAnsi" w:cstheme="minorHAnsi"/>
        </w:rPr>
        <w:t>Busturia</w:t>
      </w:r>
      <w:proofErr w:type="spellEnd"/>
      <w:r w:rsidRPr="009A39D6">
        <w:rPr>
          <w:rFonts w:asciiTheme="minorHAnsi" w:hAnsiTheme="minorHAnsi" w:cstheme="minorHAnsi"/>
        </w:rPr>
        <w:t xml:space="preserve">. 53 pp.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Campos, L.F. 1998. </w:t>
      </w:r>
      <w:proofErr w:type="spellStart"/>
      <w:r w:rsidRPr="009A39D6">
        <w:rPr>
          <w:rFonts w:asciiTheme="minorHAnsi" w:hAnsiTheme="minorHAnsi" w:cstheme="minorHAnsi"/>
        </w:rPr>
        <w:t>Censusing</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large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areas</w:t>
      </w:r>
      <w:proofErr w:type="spellEnd"/>
      <w:r w:rsidRPr="009A39D6">
        <w:rPr>
          <w:rFonts w:asciiTheme="minorHAnsi" w:hAnsiTheme="minorHAnsi" w:cstheme="minorHAnsi"/>
        </w:rPr>
        <w:t xml:space="preserve">: a </w:t>
      </w:r>
      <w:proofErr w:type="spellStart"/>
      <w:r w:rsidRPr="009A39D6">
        <w:rPr>
          <w:rFonts w:asciiTheme="minorHAnsi" w:hAnsiTheme="minorHAnsi" w:cstheme="minorHAnsi"/>
        </w:rPr>
        <w:t>comparison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between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methods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Ardeola</w:t>
      </w:r>
      <w:proofErr w:type="spellEnd"/>
      <w:r w:rsidRPr="009A39D6">
        <w:rPr>
          <w:rFonts w:asciiTheme="minorHAnsi" w:hAnsiTheme="minorHAnsi" w:cstheme="minorHAnsi"/>
        </w:rPr>
        <w:t xml:space="preserve">, 45 (1): 47-53.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Zuberogoitia, I., Campos, L.F., Crespo, T., Ocio, G. 1998. Mochuelo común (</w:t>
      </w:r>
      <w:proofErr w:type="spellStart"/>
      <w:r w:rsidRPr="009A39D6">
        <w:rPr>
          <w:rFonts w:asciiTheme="minorHAnsi" w:hAnsiTheme="minorHAnsi" w:cstheme="minorHAnsi"/>
        </w:rPr>
        <w:t>Scopoli</w:t>
      </w:r>
      <w:proofErr w:type="spellEnd"/>
      <w:r w:rsidRPr="009A39D6">
        <w:rPr>
          <w:rFonts w:asciiTheme="minorHAnsi" w:hAnsiTheme="minorHAnsi" w:cstheme="minorHAnsi"/>
        </w:rPr>
        <w:t>, 1769). En: Fernández de Mendiola, J.A., Álvarez, J. (</w:t>
      </w:r>
      <w:proofErr w:type="spellStart"/>
      <w:r w:rsidRPr="009A39D6">
        <w:rPr>
          <w:rFonts w:asciiTheme="minorHAnsi" w:hAnsiTheme="minorHAnsi" w:cstheme="minorHAnsi"/>
        </w:rPr>
        <w:t>Coords</w:t>
      </w:r>
      <w:proofErr w:type="spellEnd"/>
      <w:r w:rsidRPr="009A39D6">
        <w:rPr>
          <w:rFonts w:asciiTheme="minorHAnsi" w:hAnsiTheme="minorHAnsi" w:cstheme="minorHAnsi"/>
        </w:rPr>
        <w:t xml:space="preserve">.) Vertebrados Continentales. Situación actual en la Comunidad Autónoma del País Vasco. Pp. 227-228. Departamento de Industria, Agricultura y Pesca. Gobierno Vasco. Vitoria.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Martínez, J.A., Zabala, J. &amp; Martínez, J.E. 2005. </w:t>
      </w:r>
      <w:proofErr w:type="spellStart"/>
      <w:r w:rsidRPr="009A39D6">
        <w:rPr>
          <w:rFonts w:asciiTheme="minorHAnsi" w:hAnsiTheme="minorHAnsi" w:cstheme="minorHAnsi"/>
        </w:rPr>
        <w:t>Interspecific</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aggression</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nest-site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competition</w:t>
      </w:r>
      <w:proofErr w:type="spellEnd"/>
      <w:r w:rsidRPr="009A39D6">
        <w:rPr>
          <w:rFonts w:asciiTheme="minorHAnsi" w:hAnsiTheme="minorHAnsi" w:cstheme="minorHAnsi"/>
        </w:rPr>
        <w:t xml:space="preserve"> in a </w:t>
      </w:r>
      <w:proofErr w:type="spellStart"/>
      <w:r w:rsidRPr="009A39D6">
        <w:rPr>
          <w:rFonts w:asciiTheme="minorHAnsi" w:hAnsiTheme="minorHAnsi" w:cstheme="minorHAnsi"/>
        </w:rPr>
        <w:t>European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community</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Journal</w:t>
      </w:r>
      <w:proofErr w:type="spellEnd"/>
      <w:r w:rsidRPr="009A39D6">
        <w:rPr>
          <w:rFonts w:asciiTheme="minorHAnsi" w:hAnsiTheme="minorHAnsi" w:cstheme="minorHAnsi"/>
        </w:rPr>
        <w:t xml:space="preserve"> of Raptor </w:t>
      </w:r>
      <w:proofErr w:type="spellStart"/>
      <w:r w:rsidRPr="009A39D6">
        <w:rPr>
          <w:rFonts w:asciiTheme="minorHAnsi" w:hAnsiTheme="minorHAnsi" w:cstheme="minorHAnsi"/>
        </w:rPr>
        <w:t>Research</w:t>
      </w:r>
      <w:proofErr w:type="spellEnd"/>
      <w:r w:rsidRPr="009A39D6">
        <w:rPr>
          <w:rFonts w:asciiTheme="minorHAnsi" w:hAnsiTheme="minorHAnsi" w:cstheme="minorHAnsi"/>
        </w:rPr>
        <w:t xml:space="preserve">, 39: 156-159.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Martínez, J.E., Zabala, J., Martínez, J.A., </w:t>
      </w:r>
      <w:proofErr w:type="spellStart"/>
      <w:r w:rsidRPr="009A39D6">
        <w:rPr>
          <w:rFonts w:asciiTheme="minorHAnsi" w:hAnsiTheme="minorHAnsi" w:cstheme="minorHAnsi"/>
        </w:rPr>
        <w:t>Azkona</w:t>
      </w:r>
      <w:proofErr w:type="spellEnd"/>
      <w:r w:rsidRPr="009A39D6">
        <w:rPr>
          <w:rFonts w:asciiTheme="minorHAnsi" w:hAnsiTheme="minorHAnsi" w:cstheme="minorHAnsi"/>
        </w:rPr>
        <w:t xml:space="preserve">, A., Castillo, I. &amp; Hidalgo, S. 2008. Social </w:t>
      </w:r>
      <w:proofErr w:type="spellStart"/>
      <w:r w:rsidRPr="009A39D6">
        <w:rPr>
          <w:rFonts w:asciiTheme="minorHAnsi" w:hAnsiTheme="minorHAnsi" w:cstheme="minorHAnsi"/>
        </w:rPr>
        <w:t>interactions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between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two</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species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sometimes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associated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with</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intraguild</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predation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Ardea</w:t>
      </w:r>
      <w:proofErr w:type="spellEnd"/>
      <w:r w:rsidRPr="009A39D6">
        <w:rPr>
          <w:rFonts w:asciiTheme="minorHAnsi" w:hAnsiTheme="minorHAnsi" w:cstheme="minorHAnsi"/>
        </w:rPr>
        <w:t xml:space="preserve">, 96: 109-113.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Zabala, J. &amp; Martínez, J.E. 2011. </w:t>
      </w:r>
      <w:proofErr w:type="spellStart"/>
      <w:r w:rsidRPr="009A39D6">
        <w:rPr>
          <w:rFonts w:asciiTheme="minorHAnsi" w:hAnsiTheme="minorHAnsi" w:cstheme="minorHAnsi"/>
        </w:rPr>
        <w:t>Bias</w:t>
      </w:r>
      <w:proofErr w:type="spellEnd"/>
      <w:r w:rsidRPr="009A39D6">
        <w:rPr>
          <w:rFonts w:asciiTheme="minorHAnsi" w:hAnsiTheme="minorHAnsi" w:cstheme="minorHAnsi"/>
        </w:rPr>
        <w:t xml:space="preserve"> in </w:t>
      </w:r>
      <w:proofErr w:type="spellStart"/>
      <w:r w:rsidRPr="009A39D6">
        <w:rPr>
          <w:rFonts w:asciiTheme="minorHAnsi" w:hAnsiTheme="minorHAnsi" w:cstheme="minorHAnsi"/>
        </w:rPr>
        <w:t>little</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population</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estimates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using</w:t>
      </w:r>
      <w:proofErr w:type="spellEnd"/>
      <w:r w:rsidRPr="009A39D6">
        <w:rPr>
          <w:rFonts w:asciiTheme="minorHAnsi" w:hAnsiTheme="minorHAnsi" w:cstheme="minorHAnsi"/>
        </w:rPr>
        <w:t xml:space="preserve"> playback </w:t>
      </w:r>
      <w:proofErr w:type="spellStart"/>
      <w:r w:rsidRPr="009A39D6">
        <w:rPr>
          <w:rFonts w:asciiTheme="minorHAnsi" w:hAnsiTheme="minorHAnsi" w:cstheme="minorHAnsi"/>
        </w:rPr>
        <w:t>techniques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during</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surveys</w:t>
      </w:r>
      <w:proofErr w:type="spellEnd"/>
      <w:r w:rsidRPr="009A39D6">
        <w:rPr>
          <w:rFonts w:asciiTheme="minorHAnsi" w:hAnsiTheme="minorHAnsi" w:cstheme="minorHAnsi"/>
        </w:rPr>
        <w:t xml:space="preserve">. Animal </w:t>
      </w:r>
      <w:proofErr w:type="spellStart"/>
      <w:r w:rsidRPr="009A39D6">
        <w:rPr>
          <w:rFonts w:asciiTheme="minorHAnsi" w:hAnsiTheme="minorHAnsi" w:cstheme="minorHAnsi"/>
        </w:rPr>
        <w:t>Biodiversity</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Conservation</w:t>
      </w:r>
      <w:proofErr w:type="spellEnd"/>
      <w:r w:rsidRPr="009A39D6">
        <w:rPr>
          <w:rFonts w:asciiTheme="minorHAnsi" w:hAnsiTheme="minorHAnsi" w:cstheme="minorHAnsi"/>
        </w:rPr>
        <w:t xml:space="preserve">, 34.2: 395-400. </w:t>
      </w:r>
    </w:p>
    <w:p w:rsidR="00FB0B92" w:rsidRPr="009A39D6" w:rsidRDefault="0059073A" w:rsidP="009A39D6">
      <w:pPr>
        <w:spacing w:before="120" w:after="120" w:line="300" w:lineRule="atLeast"/>
        <w:ind w:left="278" w:right="865"/>
        <w:rPr>
          <w:rFonts w:asciiTheme="minorHAnsi" w:hAnsiTheme="minorHAnsi" w:cstheme="minorHAnsi"/>
        </w:rPr>
      </w:pPr>
      <w:r w:rsidRPr="009A39D6">
        <w:rPr>
          <w:rFonts w:asciiTheme="minorHAnsi" w:hAnsiTheme="minorHAnsi" w:cstheme="minorHAnsi"/>
        </w:rPr>
        <w:t xml:space="preserve">Zuberogoitia, I., Zabala, J., Martínez, J.A., Hidalgo, S., Martínez, J.E., </w:t>
      </w:r>
      <w:proofErr w:type="spellStart"/>
      <w:r w:rsidRPr="009A39D6">
        <w:rPr>
          <w:rFonts w:asciiTheme="minorHAnsi" w:hAnsiTheme="minorHAnsi" w:cstheme="minorHAnsi"/>
        </w:rPr>
        <w:t>Azkona</w:t>
      </w:r>
      <w:proofErr w:type="spellEnd"/>
      <w:r w:rsidRPr="009A39D6">
        <w:rPr>
          <w:rFonts w:asciiTheme="minorHAnsi" w:hAnsiTheme="minorHAnsi" w:cstheme="minorHAnsi"/>
        </w:rPr>
        <w:t xml:space="preserve">, A. &amp; Castillo, I. 2007. </w:t>
      </w:r>
      <w:proofErr w:type="spellStart"/>
      <w:r w:rsidRPr="009A39D6">
        <w:rPr>
          <w:rFonts w:asciiTheme="minorHAnsi" w:hAnsiTheme="minorHAnsi" w:cstheme="minorHAnsi"/>
        </w:rPr>
        <w:t>Seasonal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dynamics</w:t>
      </w:r>
      <w:proofErr w:type="spellEnd"/>
      <w:r w:rsidRPr="009A39D6">
        <w:rPr>
          <w:rFonts w:asciiTheme="minorHAnsi" w:hAnsiTheme="minorHAnsi" w:cstheme="minorHAnsi"/>
        </w:rPr>
        <w:t xml:space="preserve"> in social </w:t>
      </w:r>
      <w:proofErr w:type="spellStart"/>
      <w:r w:rsidRPr="009A39D6">
        <w:rPr>
          <w:rFonts w:asciiTheme="minorHAnsi" w:hAnsiTheme="minorHAnsi" w:cstheme="minorHAnsi"/>
        </w:rPr>
        <w:t>behaviour</w:t>
      </w:r>
      <w:proofErr w:type="spellEnd"/>
      <w:r w:rsidRPr="009A39D6">
        <w:rPr>
          <w:rFonts w:asciiTheme="minorHAnsi" w:hAnsiTheme="minorHAnsi" w:cstheme="minorHAnsi"/>
        </w:rPr>
        <w:t xml:space="preserve"> and </w:t>
      </w:r>
      <w:proofErr w:type="spellStart"/>
      <w:r w:rsidRPr="009A39D6">
        <w:rPr>
          <w:rFonts w:asciiTheme="minorHAnsi" w:hAnsiTheme="minorHAnsi" w:cstheme="minorHAnsi"/>
        </w:rPr>
        <w:t>spacing</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patterns</w:t>
      </w:r>
      <w:proofErr w:type="spellEnd"/>
      <w:r w:rsidRPr="009A39D6">
        <w:rPr>
          <w:rFonts w:asciiTheme="minorHAnsi" w:hAnsiTheme="minorHAnsi" w:cstheme="minorHAnsi"/>
        </w:rPr>
        <w:t xml:space="preserve"> of </w:t>
      </w:r>
      <w:proofErr w:type="spellStart"/>
      <w:r w:rsidRPr="009A39D6">
        <w:rPr>
          <w:rFonts w:asciiTheme="minorHAnsi" w:hAnsiTheme="minorHAnsi" w:cstheme="minorHAnsi"/>
        </w:rPr>
        <w:t>the</w:t>
      </w:r>
      <w:proofErr w:type="spellEnd"/>
      <w:r w:rsidRPr="009A39D6">
        <w:rPr>
          <w:rFonts w:asciiTheme="minorHAnsi" w:hAnsiTheme="minorHAnsi" w:cstheme="minorHAnsi"/>
        </w:rPr>
        <w:t xml:space="preserve"> Little </w:t>
      </w:r>
      <w:proofErr w:type="spellStart"/>
      <w:r w:rsidRPr="009A39D6">
        <w:rPr>
          <w:rFonts w:asciiTheme="minorHAnsi" w:hAnsiTheme="minorHAnsi" w:cstheme="minorHAnsi"/>
        </w:rPr>
        <w:t>Owl</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i/>
        </w:rPr>
        <w:t>Athene</w:t>
      </w:r>
      <w:proofErr w:type="spellEnd"/>
      <w:r w:rsidRPr="009A39D6">
        <w:rPr>
          <w:rFonts w:asciiTheme="minorHAnsi" w:hAnsiTheme="minorHAnsi" w:cstheme="minorHAnsi"/>
          <w:i/>
        </w:rPr>
        <w:t xml:space="preserve"> </w:t>
      </w:r>
      <w:proofErr w:type="spellStart"/>
      <w:r w:rsidRPr="009A39D6">
        <w:rPr>
          <w:rFonts w:asciiTheme="minorHAnsi" w:hAnsiTheme="minorHAnsi" w:cstheme="minorHAnsi"/>
          <w:i/>
        </w:rPr>
        <w:t>noctua</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Ornis</w:t>
      </w:r>
      <w:proofErr w:type="spellEnd"/>
      <w:r w:rsidRPr="009A39D6">
        <w:rPr>
          <w:rFonts w:asciiTheme="minorHAnsi" w:hAnsiTheme="minorHAnsi" w:cstheme="minorHAnsi"/>
        </w:rPr>
        <w:t xml:space="preserve"> </w:t>
      </w:r>
      <w:proofErr w:type="spellStart"/>
      <w:r w:rsidRPr="009A39D6">
        <w:rPr>
          <w:rFonts w:asciiTheme="minorHAnsi" w:hAnsiTheme="minorHAnsi" w:cstheme="minorHAnsi"/>
        </w:rPr>
        <w:t>Fennica</w:t>
      </w:r>
      <w:proofErr w:type="spellEnd"/>
      <w:r w:rsidRPr="009A39D6">
        <w:rPr>
          <w:rFonts w:asciiTheme="minorHAnsi" w:hAnsiTheme="minorHAnsi" w:cstheme="minorHAnsi"/>
        </w:rPr>
        <w:t xml:space="preserve">, 84: 173-180. </w:t>
      </w:r>
    </w:p>
    <w:p w:rsidR="00FB0B92" w:rsidRPr="009A39D6" w:rsidRDefault="0059073A" w:rsidP="009A39D6">
      <w:pPr>
        <w:spacing w:before="120" w:after="120" w:line="300" w:lineRule="atLeast"/>
        <w:ind w:left="0" w:firstLine="0"/>
        <w:jc w:val="left"/>
        <w:rPr>
          <w:rFonts w:asciiTheme="minorHAnsi" w:hAnsiTheme="minorHAnsi" w:cstheme="minorHAnsi"/>
        </w:rPr>
      </w:pPr>
      <w:r w:rsidRPr="009A39D6">
        <w:rPr>
          <w:rFonts w:asciiTheme="minorHAnsi" w:eastAsia="Trebuchet MS" w:hAnsiTheme="minorHAnsi" w:cstheme="minorHAnsi"/>
        </w:rPr>
        <w:t xml:space="preserve"> </w:t>
      </w:r>
    </w:p>
    <w:sectPr w:rsidR="00FB0B92" w:rsidRPr="009A39D6" w:rsidSect="009A39D6">
      <w:headerReference w:type="even" r:id="rId9"/>
      <w:headerReference w:type="default" r:id="rId10"/>
      <w:footerReference w:type="even" r:id="rId11"/>
      <w:footerReference w:type="default" r:id="rId12"/>
      <w:headerReference w:type="first" r:id="rId13"/>
      <w:footerReference w:type="first" r:id="rId14"/>
      <w:pgSz w:w="11900" w:h="16840"/>
      <w:pgMar w:top="720" w:right="814" w:bottom="794" w:left="1702"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1E3" w:rsidRDefault="000701E3">
      <w:pPr>
        <w:spacing w:after="0" w:line="240" w:lineRule="auto"/>
      </w:pPr>
      <w:r>
        <w:separator/>
      </w:r>
    </w:p>
  </w:endnote>
  <w:endnote w:type="continuationSeparator" w:id="0">
    <w:p w:rsidR="000701E3" w:rsidRDefault="00070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2" w:rsidRDefault="0059073A">
    <w:pPr>
      <w:spacing w:after="0" w:line="259" w:lineRule="auto"/>
      <w:ind w:left="0" w:firstLine="0"/>
      <w:jc w:val="left"/>
    </w:pPr>
    <w:r>
      <w:rPr>
        <w:rFonts w:ascii="Times New Roman" w:eastAsia="Times New Roman" w:hAnsi="Times New Roman" w:cs="Times New Roman"/>
        <w:sz w:val="24"/>
      </w:rPr>
      <w:t xml:space="preserve"> </w:t>
    </w:r>
  </w:p>
  <w:p w:rsidR="00FB0B92" w:rsidRDefault="0059073A">
    <w:pPr>
      <w:spacing w:after="0" w:line="259" w:lineRule="auto"/>
      <w:ind w:left="0" w:firstLine="0"/>
      <w:jc w:val="right"/>
    </w:pPr>
    <w:r>
      <w:fldChar w:fldCharType="begin"/>
    </w:r>
    <w:r>
      <w:instrText xml:space="preserve"> PAGE   \* MERGEFORMAT </w:instrText>
    </w:r>
    <w:r>
      <w:fldChar w:fldCharType="separate"/>
    </w:r>
    <w:r>
      <w:rPr>
        <w:sz w:val="20"/>
      </w:rPr>
      <w:t>2</w:t>
    </w:r>
    <w:r>
      <w:rPr>
        <w:sz w:val="20"/>
      </w:rPr>
      <w:fldChar w:fldCharType="end"/>
    </w:r>
    <w:r>
      <w:rPr>
        <w:sz w:val="20"/>
      </w:rPr>
      <w:t>/</w:t>
    </w:r>
    <w:fldSimple w:instr=" NUMPAGES   \* MERGEFORMAT ">
      <w:r>
        <w:rPr>
          <w:sz w:val="20"/>
        </w:rPr>
        <w:t>15</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2" w:rsidRDefault="0059073A">
    <w:pPr>
      <w:spacing w:after="0" w:line="259" w:lineRule="auto"/>
      <w:ind w:left="0" w:firstLine="0"/>
      <w:jc w:val="left"/>
    </w:pPr>
    <w:r>
      <w:rPr>
        <w:rFonts w:ascii="Times New Roman" w:eastAsia="Times New Roman" w:hAnsi="Times New Roman" w:cs="Times New Roman"/>
        <w:sz w:val="24"/>
      </w:rPr>
      <w:t xml:space="preserve"> </w:t>
    </w:r>
  </w:p>
  <w:p w:rsidR="00FB0B92" w:rsidRDefault="0059073A">
    <w:pPr>
      <w:spacing w:after="0" w:line="259" w:lineRule="auto"/>
      <w:ind w:left="0" w:firstLine="0"/>
      <w:jc w:val="right"/>
    </w:pPr>
    <w:r>
      <w:fldChar w:fldCharType="begin"/>
    </w:r>
    <w:r>
      <w:instrText xml:space="preserve"> PAGE   \* MERGEFORMAT </w:instrText>
    </w:r>
    <w:r>
      <w:fldChar w:fldCharType="separate"/>
    </w:r>
    <w:r w:rsidR="009A39D6" w:rsidRPr="009A39D6">
      <w:rPr>
        <w:noProof/>
        <w:sz w:val="20"/>
      </w:rPr>
      <w:t>10</w:t>
    </w:r>
    <w:r>
      <w:rPr>
        <w:sz w:val="20"/>
      </w:rPr>
      <w:fldChar w:fldCharType="end"/>
    </w:r>
    <w:r>
      <w:rPr>
        <w:sz w:val="20"/>
      </w:rPr>
      <w:t>/</w:t>
    </w:r>
    <w:fldSimple w:instr=" NUMPAGES   \* MERGEFORMAT ">
      <w:r w:rsidR="009A39D6" w:rsidRPr="009A39D6">
        <w:rPr>
          <w:noProof/>
          <w:sz w:val="20"/>
        </w:rPr>
        <w:t>10</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2" w:rsidRDefault="00FB0B9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1E3" w:rsidRDefault="000701E3">
      <w:pPr>
        <w:spacing w:after="0" w:line="240" w:lineRule="auto"/>
      </w:pPr>
      <w:r>
        <w:separator/>
      </w:r>
    </w:p>
  </w:footnote>
  <w:footnote w:type="continuationSeparator" w:id="0">
    <w:p w:rsidR="000701E3" w:rsidRDefault="00070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2" w:rsidRDefault="0059073A">
    <w:pPr>
      <w:spacing w:after="0" w:line="259" w:lineRule="auto"/>
      <w:ind w:left="0" w:right="819" w:firstLine="0"/>
      <w:jc w:val="center"/>
    </w:pPr>
    <w:r>
      <w:rPr>
        <w:noProof/>
      </w:rPr>
      <w:drawing>
        <wp:anchor distT="0" distB="0" distL="114300" distR="114300" simplePos="0" relativeHeight="251658240" behindDoc="0" locked="0" layoutInCell="1" allowOverlap="0">
          <wp:simplePos x="0" y="0"/>
          <wp:positionH relativeFrom="page">
            <wp:posOffset>2519172</wp:posOffset>
          </wp:positionH>
          <wp:positionV relativeFrom="page">
            <wp:posOffset>456438</wp:posOffset>
          </wp:positionV>
          <wp:extent cx="2522982" cy="304800"/>
          <wp:effectExtent l="0" t="0" r="0" b="0"/>
          <wp:wrapSquare wrapText="bothSides"/>
          <wp:docPr id="94" name="Picture 94"/>
          <wp:cNvGraphicFramePr/>
          <a:graphic xmlns:a="http://schemas.openxmlformats.org/drawingml/2006/main">
            <a:graphicData uri="http://schemas.openxmlformats.org/drawingml/2006/picture">
              <pic:pic xmlns:pic="http://schemas.openxmlformats.org/drawingml/2006/picture">
                <pic:nvPicPr>
                  <pic:cNvPr id="94" name="Picture 94"/>
                  <pic:cNvPicPr/>
                </pic:nvPicPr>
                <pic:blipFill>
                  <a:blip r:embed="rId1"/>
                  <a:stretch>
                    <a:fillRect/>
                  </a:stretch>
                </pic:blipFill>
                <pic:spPr>
                  <a:xfrm>
                    <a:off x="0" y="0"/>
                    <a:ext cx="2522982" cy="304800"/>
                  </a:xfrm>
                  <a:prstGeom prst="rect">
                    <a:avLst/>
                  </a:prstGeom>
                </pic:spPr>
              </pic:pic>
            </a:graphicData>
          </a:graphic>
        </wp:anchor>
      </w:drawing>
    </w:r>
    <w:r>
      <w:rPr>
        <w:rFonts w:ascii="Times New Roman" w:eastAsia="Times New Roman" w:hAnsi="Times New Roman" w:cs="Times New Roman"/>
        <w:sz w:val="24"/>
      </w:rPr>
      <w:t xml:space="preserve"> </w:t>
    </w:r>
  </w:p>
  <w:p w:rsidR="00FB0B92" w:rsidRDefault="0059073A">
    <w:pPr>
      <w:spacing w:after="0" w:line="259" w:lineRule="auto"/>
      <w:ind w:left="0"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2" w:rsidRPr="001678B1" w:rsidRDefault="0059073A" w:rsidP="001678B1">
    <w:pPr>
      <w:pStyle w:val="Encabezado"/>
    </w:pPr>
    <w:r w:rsidRPr="001678B1">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92" w:rsidRDefault="00FB0B92">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4614E7"/>
    <w:multiLevelType w:val="hybridMultilevel"/>
    <w:tmpl w:val="23E8D6D8"/>
    <w:lvl w:ilvl="0" w:tplc="BA000C44">
      <w:start w:val="8"/>
      <w:numFmt w:val="decimal"/>
      <w:lvlText w:val="%1)"/>
      <w:lvlJc w:val="left"/>
      <w:pPr>
        <w:ind w:left="69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0FB6F4DC">
      <w:start w:val="1"/>
      <w:numFmt w:val="lowerLetter"/>
      <w:lvlText w:val="%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4C6A0E4">
      <w:start w:val="1"/>
      <w:numFmt w:val="lowerRoman"/>
      <w:lvlText w:val="%3"/>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CB61E04">
      <w:start w:val="1"/>
      <w:numFmt w:val="decimal"/>
      <w:lvlText w:val="%4"/>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7E88E2A">
      <w:start w:val="1"/>
      <w:numFmt w:val="lowerLetter"/>
      <w:lvlText w:val="%5"/>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69B84D2C">
      <w:start w:val="1"/>
      <w:numFmt w:val="lowerRoman"/>
      <w:lvlText w:val="%6"/>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F8A5E2C">
      <w:start w:val="1"/>
      <w:numFmt w:val="decimal"/>
      <w:lvlText w:val="%7"/>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1CFAFECE">
      <w:start w:val="1"/>
      <w:numFmt w:val="lowerLetter"/>
      <w:lvlText w:val="%8"/>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0027C8A">
      <w:start w:val="1"/>
      <w:numFmt w:val="lowerRoman"/>
      <w:lvlText w:val="%9"/>
      <w:lvlJc w:val="left"/>
      <w:pPr>
        <w:ind w:left="64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BC43C8E"/>
    <w:multiLevelType w:val="hybridMultilevel"/>
    <w:tmpl w:val="90A8E9A0"/>
    <w:lvl w:ilvl="0" w:tplc="664610C0">
      <w:start w:val="4"/>
      <w:numFmt w:val="decimal"/>
      <w:lvlText w:val="%1)"/>
      <w:lvlJc w:val="left"/>
      <w:pPr>
        <w:ind w:left="69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D59C81EA">
      <w:start w:val="1"/>
      <w:numFmt w:val="lowerLetter"/>
      <w:lvlText w:val="%2"/>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8C9A6FF2">
      <w:start w:val="1"/>
      <w:numFmt w:val="lowerRoman"/>
      <w:lvlText w:val="%3"/>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1ABCFE92">
      <w:start w:val="1"/>
      <w:numFmt w:val="decimal"/>
      <w:lvlText w:val="%4"/>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D586878">
      <w:start w:val="1"/>
      <w:numFmt w:val="lowerLetter"/>
      <w:lvlText w:val="%5"/>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22A1E52">
      <w:start w:val="1"/>
      <w:numFmt w:val="lowerRoman"/>
      <w:lvlText w:val="%6"/>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EE203FE">
      <w:start w:val="1"/>
      <w:numFmt w:val="decimal"/>
      <w:lvlText w:val="%7"/>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9DB6FD64">
      <w:start w:val="1"/>
      <w:numFmt w:val="lowerLetter"/>
      <w:lvlText w:val="%8"/>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9ED84640">
      <w:start w:val="1"/>
      <w:numFmt w:val="lowerRoman"/>
      <w:lvlText w:val="%9"/>
      <w:lvlJc w:val="left"/>
      <w:pPr>
        <w:ind w:left="64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B92"/>
    <w:rsid w:val="000701E3"/>
    <w:rsid w:val="001678B1"/>
    <w:rsid w:val="0059073A"/>
    <w:rsid w:val="009A39D6"/>
    <w:rsid w:val="00DB1685"/>
    <w:rsid w:val="00FB0B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EF855"/>
  <w15:docId w15:val="{82F2EE32-2151-4FE1-8B34-AB7A464C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91" w:line="369" w:lineRule="auto"/>
      <w:ind w:left="293" w:hanging="293"/>
      <w:jc w:val="both"/>
    </w:pPr>
    <w:rPr>
      <w:rFonts w:ascii="Arial" w:eastAsia="Arial" w:hAnsi="Arial" w:cs="Arial"/>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1678B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1678B1"/>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42CE3B01C794458EC46233D514BD01" ma:contentTypeVersion="11" ma:contentTypeDescription="Crear nuevo documento." ma:contentTypeScope="" ma:versionID="36bed9b3dbed49d2bd9d29945c98bc19">
  <xsd:schema xmlns:xsd="http://www.w3.org/2001/XMLSchema" xmlns:xs="http://www.w3.org/2001/XMLSchema" xmlns:p="http://schemas.microsoft.com/office/2006/metadata/properties" xmlns:ns2="77d3f2b1-f841-41a7-a4a6-6f7751f4f541" xmlns:ns3="904b01e8-fb1d-497b-98a3-0a38975a92af" targetNamespace="http://schemas.microsoft.com/office/2006/metadata/properties" ma:root="true" ma:fieldsID="3e00faf0446ba1fdb80f5044169da7bb" ns2:_="" ns3:_="">
    <xsd:import namespace="77d3f2b1-f841-41a7-a4a6-6f7751f4f541"/>
    <xsd:import namespace="904b01e8-fb1d-497b-98a3-0a38975a92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d3f2b1-f841-41a7-a4a6-6f7751f4f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4b01e8-fb1d-497b-98a3-0a38975a92af"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8E764C-E21E-4A73-B112-00CDCF8375F5}"/>
</file>

<file path=customXml/itemProps2.xml><?xml version="1.0" encoding="utf-8"?>
<ds:datastoreItem xmlns:ds="http://schemas.openxmlformats.org/officeDocument/2006/customXml" ds:itemID="{BEEB24C1-B14B-4B95-8C0C-805B069081AF}"/>
</file>

<file path=customXml/itemProps3.xml><?xml version="1.0" encoding="utf-8"?>
<ds:datastoreItem xmlns:ds="http://schemas.openxmlformats.org/officeDocument/2006/customXml" ds:itemID="{A7228D79-9F39-4D49-99F6-7DB4CE358610}"/>
</file>

<file path=docProps/app.xml><?xml version="1.0" encoding="utf-8"?>
<Properties xmlns="http://schemas.openxmlformats.org/officeDocument/2006/extended-properties" xmlns:vt="http://schemas.openxmlformats.org/officeDocument/2006/docPropsVTypes">
  <Template>Normal.dotm</Template>
  <TotalTime>3</TotalTime>
  <Pages>10</Pages>
  <Words>5093</Words>
  <Characters>28014</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Microsoft Word - Athene_noctua.docx</vt:lpstr>
    </vt:vector>
  </TitlesOfParts>
  <Company>Eusko Jaurlaritza Gobierno Vasco</Company>
  <LinksUpToDate>false</LinksUpToDate>
  <CharactersWithSpaces>33041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Athene_noctua.docx</dc:title>
  <dc:subject/>
  <dc:creator>MROZASOR</dc:creator>
  <cp:keywords/>
  <cp:lastModifiedBy>Rozas Ormazabal, Marta</cp:lastModifiedBy>
  <cp:revision>3</cp:revision>
  <dcterms:created xsi:type="dcterms:W3CDTF">2021-06-14T09:21:00Z</dcterms:created>
  <dcterms:modified xsi:type="dcterms:W3CDTF">2021-06-15T13:21:00Z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0x010100BE42CE3B01C794458EC46233D514BD01</vt:lpwstr>
  </property>
</Properties>
</file>